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10" w:rsidRDefault="000B5210" w:rsidP="000B5210">
      <w:pPr>
        <w:pStyle w:val="TitoloTesi2"/>
      </w:pPr>
      <w:bookmarkStart w:id="0" w:name="_Toc486517422"/>
      <w:bookmarkStart w:id="1" w:name="_GoBack"/>
      <w:bookmarkEnd w:id="1"/>
      <w:r w:rsidRPr="00010F69">
        <w:t>CLINICA E SINTOMATOLOGIA</w:t>
      </w:r>
      <w:bookmarkEnd w:id="0"/>
    </w:p>
    <w:p w:rsidR="000B5210" w:rsidRPr="00010F69" w:rsidRDefault="000B5210" w:rsidP="000B5210">
      <w:pPr>
        <w:pStyle w:val="TitoloTesi2"/>
      </w:pPr>
    </w:p>
    <w:p w:rsidR="000B5210" w:rsidRDefault="000B5210" w:rsidP="000B5210">
      <w:pPr>
        <w:widowControl w:val="0"/>
        <w:autoSpaceDE w:val="0"/>
        <w:autoSpaceDN w:val="0"/>
        <w:adjustRightInd w:val="0"/>
        <w:spacing w:line="360" w:lineRule="auto"/>
        <w:ind w:left="1134"/>
        <w:jc w:val="both"/>
        <w:rPr>
          <w:rFonts w:ascii="Times New Roman" w:hAnsi="Times New Roman" w:cs="Times New Roman"/>
        </w:rPr>
      </w:pPr>
      <w:r w:rsidRPr="00010F69">
        <w:rPr>
          <w:rFonts w:ascii="Times New Roman" w:hAnsi="Times New Roman" w:cs="Times New Roman"/>
        </w:rPr>
        <w:t>La patologia presenta manifestazioni cliniche estremamente variabili che attraversano la quasi totalità delle alterazioni semeiologiche correlate ad un danno del SNC. Nella malattia viene coinvolta la sostanza bianca encefalica, cerebellare, del tronco enc</w:t>
      </w:r>
      <w:r>
        <w:rPr>
          <w:rFonts w:ascii="Times New Roman" w:hAnsi="Times New Roman" w:cs="Times New Roman"/>
        </w:rPr>
        <w:t>efalico</w:t>
      </w:r>
      <w:r w:rsidRPr="00010F69">
        <w:rPr>
          <w:rFonts w:ascii="Times New Roman" w:hAnsi="Times New Roman" w:cs="Times New Roman"/>
        </w:rPr>
        <w:t xml:space="preserve"> e spinale. Molto spesso è colpito il nervo ottico. Alla demielinizzazione si associa secondariamente un danno assonale, che in ogni caso riveste un ruolo primario nei processi di progressione della malattia e di atrofia cerebrale.</w:t>
      </w:r>
      <w:r w:rsidRPr="00010F69">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"10.1016/S0140-6736(08)61620-7", "ISBN" : "0140-6736 (Print)\\r0140-6736 (Linking)", "ISSN" : "1474-547X", "PMID" : "18970977", "abstract" : "Multiple sclerosis is primarily an inflammatory disorder of the brain and spinal cord in which focal lymphocytic infiltration leads to damage of myelin and axons. Initially, inflammation is transient and remyelination occurs but is not durable. Hence, the early course of disease is characterised by episodes of neurological dysfunction that usually recover. However, over time the pathological changes become dominated by widespread microglial activation associated with extensive and chronic neurodegeneration, the clinical correlate of which is progressive accumulation of disability. Paraclinical investigations show abnormalities that indicate the distribution of inflammatory lesions and axonal loss (MRI); interference of conduction in previously myelinated pathways (evoked electrophysiological potentials); and intrathecal synthesis of oligoclonal antibody (examination by lumbar puncture of the cerebrospinal fluid). Multiple sclerosis is triggered by environmental factors in individuals with complex genetic-risk profiles. Licensed disease modifying agents reduce the frequency of new episodes but do not reverse fixed deficits and have questionable effects on the long-term accumulation of disability and disease progression. We anticipate that future studies in multiple sclerosis will provide a new taxonomy on the basis of mechanisms rather than clinical empiricism, and so inform strategies for improved treatment at all stages of the disease.", "author" : [ { "dropping-particle" : "", "family" : "Compston", "given" : "Alastair", "non-dropping-particle" : "", "parse-names" : false, "suffix" : "" }, { "dropping-particle" : "", "family" : "Coles", "given" : "Alasdair", "non-dropping-particle" : "", "parse-names" : false, "suffix" : "" } ], "container-title" : "Lancet", "id" : "ITEM-1", "issue" : "9648", "issued" : { "date-parts" : [ [ "2008" ] ] }, "page" : "1502-17", "title" : "Multiple sclerosis.", "type" : "article-journal", "volume" : "372" }, "uris" : [ "http://www.mendeley.com/documents/?uuid=1189384e-b291-4b8b-b7d6-098b9a3c0cf1" ] } ], "mendeley" : { "formattedCitation" : "&lt;sup&gt;21&lt;/sup&gt;", "plainTextFormattedCitation" : "21", "previouslyFormattedCitation" : "&lt;sup&gt;21&lt;/sup&gt;" }, "properties" : { "noteIndex" : 0 }, "schema" : "https://github.com/citation-style-language/schema/raw/master/csl-citation.json" }</w:instrText>
      </w:r>
      <w:r w:rsidRPr="00010F69">
        <w:rPr>
          <w:rFonts w:ascii="Times New Roman" w:hAnsi="Times New Roman" w:cs="Times New Roman"/>
        </w:rPr>
        <w:fldChar w:fldCharType="separate"/>
      </w:r>
      <w:r w:rsidRPr="00346627">
        <w:rPr>
          <w:rFonts w:ascii="Times New Roman" w:hAnsi="Times New Roman" w:cs="Times New Roman"/>
          <w:noProof/>
          <w:vertAlign w:val="superscript"/>
        </w:rPr>
        <w:t>21</w:t>
      </w:r>
      <w:r w:rsidRPr="00010F69">
        <w:rPr>
          <w:rFonts w:ascii="Times New Roman" w:hAnsi="Times New Roman" w:cs="Times New Roman"/>
        </w:rPr>
        <w:fldChar w:fldCharType="end"/>
      </w:r>
    </w:p>
    <w:p w:rsidR="000B5210" w:rsidRDefault="000B5210" w:rsidP="000B5210">
      <w:pPr>
        <w:widowControl w:val="0"/>
        <w:autoSpaceDE w:val="0"/>
        <w:autoSpaceDN w:val="0"/>
        <w:adjustRightInd w:val="0"/>
        <w:spacing w:line="360" w:lineRule="auto"/>
        <w:ind w:left="1134"/>
        <w:jc w:val="both"/>
        <w:rPr>
          <w:rFonts w:ascii="Times New Roman" w:hAnsi="Times New Roman" w:cs="Times New Roman"/>
        </w:rPr>
      </w:pPr>
      <w:r w:rsidRPr="00EE53C6">
        <w:rPr>
          <w:rFonts w:ascii="Times New Roman" w:hAnsi="Times New Roman" w:cs="Times New Roman"/>
        </w:rPr>
        <w:t xml:space="preserve">Circa l’85% dei pazienti affetti da </w:t>
      </w:r>
      <w:r>
        <w:rPr>
          <w:rFonts w:ascii="Times New Roman" w:hAnsi="Times New Roman" w:cs="Times New Roman"/>
        </w:rPr>
        <w:t>s</w:t>
      </w:r>
      <w:r w:rsidRPr="00EE53C6">
        <w:rPr>
          <w:rFonts w:ascii="Times New Roman" w:hAnsi="Times New Roman" w:cs="Times New Roman"/>
        </w:rPr>
        <w:t xml:space="preserve">clerosi </w:t>
      </w:r>
      <w:r>
        <w:rPr>
          <w:rFonts w:ascii="Times New Roman" w:hAnsi="Times New Roman" w:cs="Times New Roman"/>
        </w:rPr>
        <w:t>m</w:t>
      </w:r>
      <w:r w:rsidRPr="00EE53C6">
        <w:rPr>
          <w:rFonts w:ascii="Times New Roman" w:hAnsi="Times New Roman" w:cs="Times New Roman"/>
        </w:rPr>
        <w:t xml:space="preserve">ultipla </w:t>
      </w:r>
      <w:r w:rsidRPr="00A55579">
        <w:rPr>
          <w:rFonts w:ascii="Times New Roman" w:hAnsi="Times New Roman" w:cs="Times New Roman"/>
        </w:rPr>
        <w:t>esordisce con un sintomo neurologico acuto suggestivo di un evento demielinizzante.</w:t>
      </w:r>
      <w:r w:rsidRPr="006C2258">
        <w:rPr>
          <w:rStyle w:val="Apice1"/>
        </w:rPr>
        <w:fldChar w:fldCharType="begin" w:fldLock="1"/>
      </w:r>
      <w:r w:rsidRPr="006C2258">
        <w:rPr>
          <w:rStyle w:val="Apice1"/>
        </w:rPr>
        <w:instrText>ADDIN CSL_CITATION { "citationItems" : [ { "id" : "ITEM-1", "itemData" : { "DOI" : "10.1093/brain/awq118", "ISBN" : "1460-2156 (Electronic)\\r0006-8950 (Linking)", "ISSN" : "00068950", "PMID" : "20534650", "abstract" : "The relationship of relapses to long-term disability in multiple sclerosis is uncertain. Relapse reduction is a common therapeutic target but clinical trials have shown dissociation between relapse suppression and disability accumulation. We investigated relationships between relapses and disability progression for outcomes of requiring assistance to walk, being bedridden and dying from multiple sclerosis [Disability Status Scale 6, 8, 10] by analysing 28 000 patient-years of evolution in 806-bout onset patients from the London Ontario natural history cohort. Having previously shown no effect of relapse frequency among progressive multiple sclerosis subtypes, here we examined these measures in the pre-progressive or relapsing-remitting phase. Survival was compared among groups stratified by (i) early relapses--number of attacks during the first 2 years of multiple sclerosis; (ii) length of first inter-attack interval; (iii) interval between onset and Disability Status Scale 3 (moderate disability); (iv) number of attacks from the third year of disease up to onset of progression; and (v) during the entire relapsing-remitting phase. Early clinical features can predict hard disability outcomes. Frequent relapses in the first 2 years and shorter first inter-attack intervals predicted shorter times to reach hard disability endpoints. Attack frequencies, in the first 2 years, of 1 versus &gt;or=3, gave differences of 7.6, 12.8 and 20.3 years in times from disease onset to Disability Status Scale 6, 8 and 10, respectively. Time to Disability Status Scale 3 highly and independently predicted time to Disability Status Scale 6, 8 and 10. In contrast, neither total number of relapsing-remitting phase attacks nor of relapses experienced during the relapsing-remitting phase after the second year up to onset of progression showed a deleterious effect on times from disease onset, from progression onset and from Disability Status Scale 3 to these hard endpoints. The failure of a regulatory mechanism tied to neurodegeneration is suggested. Relapse frequency beyond Year 2 does not appear to predict the key outcome of secondary progression or times to Disability Status Scale 6, 8 or 10, highlighting two distinct disease phases related to late outcome. These appear to be separated by a watershed within the relapsing-remitting phase, just a few years after clinical onset. Higher early relapse frequencies and shorter first inter-attack intervals herald more rapid deterioration \u2026", "author" : [ { "dropping-particle" : "", "family" : "Scalfari", "given" : "Antonio", "non-dropping-particle" : "", "parse-names" : false, "suffix" : "" }, { "dropping-particle" : "", "family" : "Neuhaus", "given" : "Anneke", "non-dropping-particle" : "", "parse-names" : false, "suffix" : "" }, { "dropping-particle" : "", "family" : "Degenhardt", "given" : "Alexandra", "non-dropping-particle" : "", "parse-names" : false, "suffix" : "" }, { "dropping-particle" : "", "family" : "Rice", "given" : "George P.", "non-dropping-particle" : "", "parse-names" : false, "suffix" : "" }, { "dropping-particle" : "", "family" : "Muraro", "given" : "Paolo A.", "non-dropping-particle" : "", "parse-names" : false, "suffix" : "" }, { "dropping-particle" : "", "family" : "Daumer", "given" : "Martin", "non-dropping-particle" : "", "parse-names" : false, "suffix" : "" }, { "dropping-particle" : "", "family" : "Ebers", "given" : "George C.", "non-dropping-particle" : "", "parse-names" : false, "suffix" : "" } ], "container-title" : "Brain", "id" : "ITEM-1", "issue" : "7", "issued" : { "date-parts" : [ [ "2010" ] ] }, "page" : "1914-1929", "title" : "The natural history of multiple sclerosis, a geographically based study 10: Relapses and long-term disability", "type" : "article-journal", "volume" : "133" }, "uris" : [ "http://www.mendeley.com/documents/?uuid=03a53705-0f42-4cc3-bf0a-5600b718e486" ] }, { "id" : "ITEM-2", "itemData" : { "DOI" : "10.1093/brain/awl007", "ISBN" : "1460-2156 (Electronic)\\r0006-8950 (Linking)", "ISSN" : "00068950", "PMID" : "16415308", "abstract" : "Multiple sclerosis can follow very different patterns of evolution and variable rates of disability accumulation. This raises the issue whether it represents one or several distinct diseases. We assessed demographic and clinical characteristics in 1844 patients with multiple sclerosis that we categorized according to the classification of Lublin and Reingold (1996) into 1066 (58%) relapsing-remitting, 496 (27%) secondary progressive, 109 (6%) progressive relapsing and 173 (9%) primary progressive cases of multiple sclerosis. Relapsing-remitting and secondary progressive cases shared similar age at disease onset (median = 28.7 versus 29.5 years; P = 0.21), initial symptoms of the relapsing-remitting phase, degree of recovery from the first neurological episode, and time from the first to the second episode. By contrast, disease duration was twice as long in secondary progressive than in relapsing-remitting cases (mean +/- SD = 17.6 +/- 9.6 versus 8.7 +/- 8.6 years; P &lt; 0.001). Progressive relapsing and primary progressive cases were essentially similar in their clinical characteristics. In patients experiencing a progressive course, median age at onset of progressive phase was similar in secondary progressive cases and in cases who were progressive from onset (39.1 versus 40.1 years; P = 0.47). The proportion of cases with superimposed relapses during progression was approximately 40% in both categories. Finally, the 1562 patients with an exacerbating-remitting initial course and the 282 patients with a progressive initial course of the disease were essentially similar with respect to the time course of disability accumulation from assignment to a given disability score, and the age at assignment of disability landmarks. These observational data suggest that the clinical phenotype and course of multiple sclerosis are age dependent. Relapsing-remitting disease can be regarded as multiple sclerosis in which insufficient time has elapsed for the conversion to secondary progression; secondary progressive forms as relapsing-remitting multiple sclerosis that has 'grown older'; and progressive from onset cases as multiple sclerosis 'amputated' from the usual preceding relapsing-remitting phase. Times to reach disability milestones, and ages at which these landmarks are reached, follow a predefined schedule not obviously influenced by relapses, whenever they may occur, or by the initial course of the disease, whatever its phenotype. This leads to a unifying conc\u2026", "author" : [ { "dropping-particle" : "", "family" : "Confavreux", "given" : "Christian", "non-dropping-particle" : "", "parse-names" : false, "suffix" : "" }, { "dropping-particle" : "", "family" : "Vukusic", "given" : "Sandra", "non-dropping-particle" : "", "parse-names" : false, "suffix" : "" } ], "container-title" : "Brain", "id" : "ITEM-2", "issue" : "3", "issued" : { "date-parts" : [ [ "2006" ] ] }, "page" : "606-616", "title" : "Natural history of multiple sclerosis: A unifying concept", "type" : "article-journal", "volume" : "129" }, "uris" : [ "http://www.mendeley.com/documents/?uuid=576fc036-1268-4ed7-8a09-c3cb360efb9e" ] } ], "mendeley" : { "formattedCitation" : "&lt;sup&gt;54,55&lt;/sup&gt;", "plainTextFormattedCitation" : "54,55", "previouslyFormattedCitation" : "&lt;sup&gt;54,55&lt;/sup&gt;" }, "properties" : { "noteIndex" : 0 }, "schema" : "https://github.com/citation-style-language/schema/raw/master/csl-citation.json" }</w:instrText>
      </w:r>
      <w:r w:rsidRPr="006C2258">
        <w:rPr>
          <w:rStyle w:val="Apice1"/>
        </w:rPr>
        <w:fldChar w:fldCharType="separate"/>
      </w:r>
      <w:r w:rsidRPr="006C2258">
        <w:rPr>
          <w:rStyle w:val="Apice1"/>
          <w:noProof/>
        </w:rPr>
        <w:t>54,55</w:t>
      </w:r>
      <w:r w:rsidRPr="006C2258">
        <w:rPr>
          <w:rStyle w:val="Apice1"/>
        </w:rPr>
        <w:fldChar w:fldCharType="end"/>
      </w:r>
      <w:r w:rsidRPr="00010F69">
        <w:rPr>
          <w:rFonts w:ascii="Times New Roman" w:hAnsi="Times New Roman" w:cs="Times New Roman"/>
        </w:rPr>
        <w:t xml:space="preserve"> Tale </w:t>
      </w:r>
      <w:r>
        <w:rPr>
          <w:rFonts w:ascii="Times New Roman" w:hAnsi="Times New Roman" w:cs="Times New Roman"/>
        </w:rPr>
        <w:t>evento costituisce una s</w:t>
      </w:r>
      <w:r w:rsidRPr="00010F69">
        <w:rPr>
          <w:rFonts w:ascii="Times New Roman" w:hAnsi="Times New Roman" w:cs="Times New Roman"/>
        </w:rPr>
        <w:t xml:space="preserve">indrome </w:t>
      </w:r>
      <w:r>
        <w:rPr>
          <w:rFonts w:ascii="Times New Roman" w:hAnsi="Times New Roman" w:cs="Times New Roman"/>
        </w:rPr>
        <w:t>c</w:t>
      </w:r>
      <w:r w:rsidRPr="00010F69">
        <w:rPr>
          <w:rFonts w:ascii="Times New Roman" w:hAnsi="Times New Roman" w:cs="Times New Roman"/>
        </w:rPr>
        <w:t xml:space="preserve">linicamente </w:t>
      </w:r>
      <w:r>
        <w:rPr>
          <w:rFonts w:ascii="Times New Roman" w:hAnsi="Times New Roman" w:cs="Times New Roman"/>
        </w:rPr>
        <w:t>i</w:t>
      </w:r>
      <w:r w:rsidRPr="00010F69">
        <w:rPr>
          <w:rFonts w:ascii="Times New Roman" w:hAnsi="Times New Roman" w:cs="Times New Roman"/>
        </w:rPr>
        <w:t>solata (CIS)</w:t>
      </w:r>
      <w:r>
        <w:rPr>
          <w:rFonts w:ascii="Times New Roman" w:hAnsi="Times New Roman" w:cs="Times New Roman"/>
        </w:rPr>
        <w:t>,</w:t>
      </w:r>
      <w:r w:rsidRPr="00010F69">
        <w:rPr>
          <w:rFonts w:ascii="Times New Roman" w:hAnsi="Times New Roman" w:cs="Times New Roman"/>
        </w:rPr>
        <w:t xml:space="preserve"> termine che viene utilizzato appunto per descrivere un episodio clinico iniziale in cui il paziente ha segni e sintomi suggestivi di un disordine demielinizzante infiammatorio.</w:t>
      </w:r>
      <w:r w:rsidRPr="006C2258">
        <w:rPr>
          <w:rStyle w:val="Apice1"/>
        </w:rPr>
        <w:fldChar w:fldCharType="begin" w:fldLock="1"/>
      </w:r>
      <w:r w:rsidRPr="006C2258">
        <w:rPr>
          <w:rStyle w:val="Apice1"/>
        </w:rPr>
        <w:instrText>ADDIN CSL_CITATION { "citationItems" : [ { "id" : "ITEM-1", "itemData" : { "DOI" : "10.1177/1352458508096878", "ISBN" : "1352458508096", "ISSN" : "1352-4585", "PMID" : "18805839", "abstract" : "BACKGROUND AND OBJECTIVES Diagnosis of multiple sclerosis (MS) requires exclusion of diseases that could better explain the clinical and paraclinical findings. A systematic process for exclusion of alternative diagnoses has not been defined. An International Panel of MS experts developed consensus perspectives on MS differential diagnosis. METHODS Using available literature and consensus, we developed guidelines for MS differential diagnosis, focusing on exclusion of potential MS mimics, diagnosis of common initial isolated clinical syndromes, and differentiating between MS and non-MS idiopathic inflammatory demyelinating diseases. RESULTS We present recommendations for 1) clinical and paraclinical red flags suggesting alternative diagnoses to MS; 2) more precise definition of \"clinically isolated syndromes\" (CIS), often the first presentations of MS or its alternatives; 3) algorithms for diagnosis of three common CISs related to MS in the optic nerves, brainstem, and spinal cord; and 4) a classification scheme and diagnosis criteria for idiopathic inflammatory demyelinating disorders of the central nervous system. CONCLUSIONS Differential diagnosis leading to MS or alternatives is complex and a strong evidence base is lacking. Consensus-determined guidelines provide a practical path for diagnosis and will be useful for the non-MS specialist neurologist. Recommendations are made for future research to validate and support these guidelines. Guidance on the differential diagnosis process when MS is under consideration will enhance diagnostic accuracy and precision.", "author" : [ { "dropping-particle" : "", "family" : "Miller", "given" : "DH", "non-dropping-particle" : "", "parse-names" : false, "suffix" : "" }, { "dropping-particle" : "", "family" : "Weinshenker", "given" : "BG", "non-dropping-particle" : "", "parse-names" : false, "suffix" : "" }, { "dropping-particle" : "", "family" : "Filippi", "given" : "M", "non-dropping-particle" : "", "parse-names" : false, "suffix" : "" }, { "dropping-particle" : "", "family" : "Banwell", "given" : "BL", "non-dropping-particle" : "", "parse-names" : false, "suffix" : "" }, { "dropping-particle" : "", "family" : "Cohen", "given" : "JA", "non-dropping-particle" : "", "parse-names" : false, "suffix" : "" }, { "dropping-particle" : "", "family" : "Freedman", "given" : "MS", "non-dropping-particle" : "", "parse-names" : false, "suffix" : "" }, { "dropping-particle" : "", "family" : "Galetta", "given" : "SL", "non-dropping-particle" : "", "parse-names" : false, "suffix" : "" }, { "dropping-particle" : "", "family" : "Hutchinson", "given" : "M", "non-dropping-particle" : "", "parse-names" : false, "suffix" : "" }, { "dropping-particle" : "", "family" : "Johnson", "given" : "RT", "non-dropping-particle" : "", "parse-names" : false, "suffix" : "" }, { "dropping-particle" : "", "family" : "Kappos", "given" : "L", "non-dropping-particle" : "", "parse-names" : false, "suffix" : "" }, { "dropping-particle" : "", "family" : "Kira", "given" : "J", "non-dropping-particle" : "", "parse-names" : false, "suffix" : "" }, { "dropping-particle" : "", "family" : "Lublin", "given" : "FD", "non-dropping-particle" : "", "parse-names" : false, "suffix" : "" }, { "dropping-particle" : "", "family" : "McFarland", "given" : "HF", "non-dropping-particle" : "", "parse-names" : false, "suffix" : "" }, { "dropping-particle" : "", "family" : "Montalban", "given" : "X", "non-dropping-particle" : "", "parse-names" : false, "suffix" : "" }, { "dropping-particle" : "", "family" : "Panitch", "given" : "H", "non-dropping-particle" : "", "parse-names" : false, "suffix" : "" }, { "dropping-particle" : "", "family" : "Richert", "given" : "JR", "non-dropping-particle" : "", "parse-names" : false, "suffix" : "" }, { "dropping-particle" : "", "family" : "Reingold", "given" : "SC", "non-dropping-particle" : "", "parse-names" : false, "suffix" : "" }, { "dropping-particle" : "", "family" : "Polman", "given" : "CH", "non-dropping-particle" : "", "parse-names" : false, "suffix" : "" } ], "container-title" : "Multiple Sclerosis Journal", "id" : "ITEM-1", "issue" : "9", "issued" : { "date-parts" : [ [ "2008" ] ] }, "page" : "1157-1174", "title" : "Differential diagnosis of suspected multiple sclerosis: a consensus approach", "type" : "article-journal", "volume" : "14" }, "uris" : [ "http://www.mendeley.com/documents/?uuid=c8a7ceb5-7885-481a-b471-c07bbb998973" ] } ], "mendeley" : { "formattedCitation" : "&lt;sup&gt;56&lt;/sup&gt;", "plainTextFormattedCitation" : "56", "previouslyFormattedCitation" : "&lt;sup&gt;56&lt;/sup&gt;" }, "properties" : { "noteIndex" : 0 }, "schema" : "https://github.com/citation-style-language/schema/raw/master/csl-citation.json" }</w:instrText>
      </w:r>
      <w:r w:rsidRPr="006C2258">
        <w:rPr>
          <w:rStyle w:val="Apice1"/>
        </w:rPr>
        <w:fldChar w:fldCharType="separate"/>
      </w:r>
      <w:r w:rsidRPr="006C2258">
        <w:rPr>
          <w:rStyle w:val="Apice1"/>
          <w:noProof/>
        </w:rPr>
        <w:t>56</w:t>
      </w:r>
      <w:r w:rsidRPr="006C2258">
        <w:rPr>
          <w:rStyle w:val="Apice1"/>
        </w:rPr>
        <w:fldChar w:fldCharType="end"/>
      </w:r>
      <w:r w:rsidRPr="00010F69">
        <w:rPr>
          <w:rFonts w:ascii="Times New Roman" w:hAnsi="Times New Roman" w:cs="Times New Roman"/>
        </w:rPr>
        <w:t xml:space="preserve"> Per essere definito CIS, l’episodio dovrebbe durare almeno 24 ore e</w:t>
      </w:r>
      <w:r>
        <w:rPr>
          <w:rFonts w:ascii="Times New Roman" w:hAnsi="Times New Roman" w:cs="Times New Roman"/>
        </w:rPr>
        <w:t>d</w:t>
      </w:r>
      <w:r w:rsidRPr="00010F69">
        <w:rPr>
          <w:rFonts w:ascii="Times New Roman" w:hAnsi="Times New Roman" w:cs="Times New Roman"/>
        </w:rPr>
        <w:t xml:space="preserve"> occorrere in assenza di febbre o infezioni, senza evidenza clinica di encefalopatia.</w:t>
      </w:r>
      <w:r w:rsidRPr="006C2258">
        <w:rPr>
          <w:rStyle w:val="Apice1"/>
        </w:rPr>
        <w:fldChar w:fldCharType="begin" w:fldLock="1"/>
      </w:r>
      <w:r w:rsidRPr="006C2258">
        <w:rPr>
          <w:rStyle w:val="Apice1"/>
        </w:rPr>
        <w:instrText>ADDIN CSL_CITATION { "citationItems" : [ { "id" : "ITEM-1", "itemData" : { "DOI" : "10.1177/1352458508096878", "ISBN" : "1352458508096", "ISSN" : "1352-4585", "PMID" : "18805839", "abstract" : "BACKGROUND AND OBJECTIVES Diagnosis of multiple sclerosis (MS) requires exclusion of diseases that could better explain the clinical and paraclinical findings. A systematic process for exclusion of alternative diagnoses has not been defined. An International Panel of MS experts developed consensus perspectives on MS differential diagnosis. METHODS Using available literature and consensus, we developed guidelines for MS differential diagnosis, focusing on exclusion of potential MS mimics, diagnosis of common initial isolated clinical syndromes, and differentiating between MS and non-MS idiopathic inflammatory demyelinating diseases. RESULTS We present recommendations for 1) clinical and paraclinical red flags suggesting alternative diagnoses to MS; 2) more precise definition of \"clinically isolated syndromes\" (CIS), often the first presentations of MS or its alternatives; 3) algorithms for diagnosis of three common CISs related to MS in the optic nerves, brainstem, and spinal cord; and 4) a classification scheme and diagnosis criteria for idiopathic inflammatory demyelinating disorders of the central nervous system. CONCLUSIONS Differential diagnosis leading to MS or alternatives is complex and a strong evidence base is lacking. Consensus-determined guidelines provide a practical path for diagnosis and will be useful for the non-MS specialist neurologist. Recommendations are made for future research to validate and support these guidelines. Guidance on the differential diagnosis process when MS is under consideration will enhance diagnostic accuracy and precision.", "author" : [ { "dropping-particle" : "", "family" : "Miller", "given" : "DH", "non-dropping-particle" : "", "parse-names" : false, "suffix" : "" }, { "dropping-particle" : "", "family" : "Weinshenker", "given" : "BG", "non-dropping-particle" : "", "parse-names" : false, "suffix" : "" }, { "dropping-particle" : "", "family" : "Filippi", "given" : "M", "non-dropping-particle" : "", "parse-names" : false, "suffix" : "" }, { "dropping-particle" : "", "family" : "Banwell", "given" : "BL", "non-dropping-particle" : "", "parse-names" : false, "suffix" : "" }, { "dropping-particle" : "", "family" : "Cohen", "given" : "JA", "non-dropping-particle" : "", "parse-names" : false, "suffix" : "" }, { "dropping-particle" : "", "family" : "Freedman", "given" : "MS", "non-dropping-particle" : "", "parse-names" : false, "suffix" : "" }, { "dropping-particle" : "", "family" : "Galetta", "given" : "SL", "non-dropping-particle" : "", "parse-names" : false, "suffix" : "" }, { "dropping-particle" : "", "family" : "Hutchinson", "given" : "M", "non-dropping-particle" : "", "parse-names" : false, "suffix" : "" }, { "dropping-particle" : "", "family" : "Johnson", "given" : "RT", "non-dropping-particle" : "", "parse-names" : false, "suffix" : "" }, { "dropping-particle" : "", "family" : "Kappos", "given" : "L", "non-dropping-particle" : "", "parse-names" : false, "suffix" : "" }, { "dropping-particle" : "", "family" : "Kira", "given" : "J", "non-dropping-particle" : "", "parse-names" : false, "suffix" : "" }, { "dropping-particle" : "", "family" : "Lublin", "given" : "FD", "non-dropping-particle" : "", "parse-names" : false, "suffix" : "" }, { "dropping-particle" : "", "family" : "McFarland", "given" : "HF", "non-dropping-particle" : "", "parse-names" : false, "suffix" : "" }, { "dropping-particle" : "", "family" : "Montalban", "given" : "X", "non-dropping-particle" : "", "parse-names" : false, "suffix" : "" }, { "dropping-particle" : "", "family" : "Panitch", "given" : "H", "non-dropping-particle" : "", "parse-names" : false, "suffix" : "" }, { "dropping-particle" : "", "family" : "Richert", "given" : "JR", "non-dropping-particle" : "", "parse-names" : false, "suffix" : "" }, { "dropping-particle" : "", "family" : "Reingold", "given" : "SC", "non-dropping-particle" : "", "parse-names" : false, "suffix" : "" }, { "dropping-particle" : "", "family" : "Polman", "given" : "CH", "non-dropping-particle" : "", "parse-names" : false, "suffix" : "" } ], "container-title" : "Multiple Sclerosis Journal", "id" : "ITEM-1", "issue" : "9", "issued" : { "date-parts" : [ [ "2008" ] ] }, "page" : "1157-1174", "title" : "Differential diagnosis of suspected multiple sclerosis: a consensus approach", "type" : "article-journal", "volume" : "14" }, "uris" : [ "http://www.mendeley.com/documents/?uuid=c8a7ceb5-7885-481a-b471-c07bbb998973" ] }, { "id" : "ITEM-2", "itemData" : { "DOI" : "10.1212/01.wnl.0000259422.44235.a8", "ISBN" : "1526-632X (Electronic)\\r0028-3878 (Linking)", "ISSN" : "00283878", "PMID" : "17438241", "abstract" : "\u2014Background: The CNS inflammatory demyelinating disorders of childhood include both self-limited and life-long conditions, which can be indistinguishable at the time of initial presentation. Clinical, biologic, and radiographic delineation of the various monophasic and chronic childhood demyelinating disorders requires an operational classifica-tion system to facilitate prospective research studies. Methods: The National Multiple Sclerosis Society (NMSS) organized an International Pediatric MS Study Group (Study Group) composed of adult and pediatric neurologists and experts in genetics, epidemiology, neuropsychology, nursing, and immunology. The group met several times to develop consensus definitions regarding the major CNS inflammatory demyelinating disorders of children and adolescents. Results: Clinical definitions are proposed for pediatric multiple sclerosis (MS), acute disseminated encephalomyelitis (ADEM), recurrent ADEM, multiphasic ADEM, neuromyelitis optica, and clinically isolated syndrome. These definitions are considered operational and need to be tested in future research and modified accordingly. Conclusion: CNS inflammatory demyelinat-ing disorders presenting in children and adolescents can be defined and distinguished. However, prospective research is necessary to determine the validity and utility of the proposed diagnostic categories. NEUROLOGY 2007;68(Suppl 2):S7\u2013S12 To expand our understanding of pediatric multiple sclerosis (MS) and other demyelinating conditions in children and adolescents, a series of workshops was organized by the National Multiple Sclerosis Society (NMSS) and included an international panel of adult and pediatric neurologists, researchers from the fields of genetics, epidemiology, neuropsychology, and nursing, and representatives from the NMSS and the MS Society of Canada. The main objectives of these meetings were as follows: 1. To advance our understanding of pediatric MS and related inflammatory demyelinating disor-ders of childhood 2. To establish a platform for future research on the clinical features, causes, prognosis, and treatment of pediatric MS by agreeing to uni-form terminology and by identifying research priorities 3. To identify the major clinical and neuroimaging findings typically associated with each disorder; this included a review of similarities and differ-ences between adult and pediatric MS The panel agreed that a major priority was to distinguish transient demyelinating syndromes from \u2026", "author" : [ { "dropping-particle" : "", "family" : "Krupp", "given" : "Lauren B.", "non-dropping-particle" : "", "parse-names" : false, "suffix" : "" }, { "dropping-particle" : "", "family" : "Banwell", "given" : "Brenda", "non-dropping-particle" : "", "parse-names" : false, "suffix" : "" }, { "dropping-particle" : "", "family" : "Tenembaum", "given" : "Silvia", "non-dropping-particle" : "", "parse-names" : false, "suffix" : "" } ], "container-title" : "Neurology", "id" : "ITEM-2", "issue" : "16 SUPPL. 2", "issued" : { "date-parts" : [ [ "2007" ] ] }, "title" : "Consensus definitions proposed for pediatric multiple sclerosis and related disorders", "type" : "article-journal", "volume" : "68" }, "uris" : [ "http://www.mendeley.com/documents/?uuid=af323b5a-e002-4f7d-b311-157b6a813696" ] } ], "mendeley" : { "formattedCitation" : "&lt;sup&gt;56,57&lt;/sup&gt;", "plainTextFormattedCitation" : "56,57", "previouslyFormattedCitation" : "&lt;sup&gt;56,57&lt;/sup&gt;" }, "properties" : { "noteIndex" : 0 }, "schema" : "https://github.com/citation-style-language/schema/raw/master/csl-citation.json" }</w:instrText>
      </w:r>
      <w:r w:rsidRPr="006C2258">
        <w:rPr>
          <w:rStyle w:val="Apice1"/>
        </w:rPr>
        <w:fldChar w:fldCharType="separate"/>
      </w:r>
      <w:r w:rsidRPr="006C2258">
        <w:rPr>
          <w:rStyle w:val="Apice1"/>
          <w:noProof/>
        </w:rPr>
        <w:t>56,57</w:t>
      </w:r>
      <w:r w:rsidRPr="006C2258">
        <w:rPr>
          <w:rStyle w:val="Apice1"/>
        </w:rPr>
        <w:fldChar w:fldCharType="end"/>
      </w:r>
      <w:r w:rsidRPr="00010F69">
        <w:rPr>
          <w:rFonts w:ascii="Times New Roman" w:hAnsi="Times New Roman" w:cs="Times New Roman"/>
        </w:rPr>
        <w:t xml:space="preserve"> </w:t>
      </w:r>
      <w:r>
        <w:rPr>
          <w:rFonts w:ascii="Times New Roman" w:hAnsi="Times New Roman" w:cs="Times New Roman"/>
        </w:rPr>
        <w:t xml:space="preserve">Dovrebbe avere un andamento </w:t>
      </w:r>
      <w:r w:rsidRPr="00010F69">
        <w:rPr>
          <w:rFonts w:ascii="Times New Roman" w:hAnsi="Times New Roman" w:cs="Times New Roman"/>
        </w:rPr>
        <w:t>acuto o subacuto che raggiunge un picco rapidamente (2-3 settimane)</w:t>
      </w:r>
      <w:r>
        <w:rPr>
          <w:rFonts w:ascii="Times New Roman" w:hAnsi="Times New Roman" w:cs="Times New Roman"/>
        </w:rPr>
        <w:t xml:space="preserve">. </w:t>
      </w:r>
      <w:r w:rsidRPr="00010F69">
        <w:rPr>
          <w:rFonts w:ascii="Times New Roman" w:hAnsi="Times New Roman" w:cs="Times New Roman"/>
        </w:rPr>
        <w:t xml:space="preserve">Una sindrome clinicamente isolata è per definizione sempre isolata nel tempo, e può avere o meno disseminazione spaziale (CIS multifocale o </w:t>
      </w:r>
      <w:proofErr w:type="spellStart"/>
      <w:r w:rsidRPr="00010F69">
        <w:rPr>
          <w:rFonts w:ascii="Times New Roman" w:hAnsi="Times New Roman" w:cs="Times New Roman"/>
        </w:rPr>
        <w:t>monofocale</w:t>
      </w:r>
      <w:proofErr w:type="spellEnd"/>
      <w:r w:rsidRPr="00010F69">
        <w:rPr>
          <w:rFonts w:ascii="Times New Roman" w:hAnsi="Times New Roman" w:cs="Times New Roman"/>
        </w:rPr>
        <w:t xml:space="preserve">). </w:t>
      </w:r>
    </w:p>
    <w:p w:rsidR="000B5210" w:rsidRDefault="000B5210" w:rsidP="000B5210">
      <w:pPr>
        <w:widowControl w:val="0"/>
        <w:autoSpaceDE w:val="0"/>
        <w:autoSpaceDN w:val="0"/>
        <w:adjustRightInd w:val="0"/>
        <w:spacing w:line="360" w:lineRule="auto"/>
        <w:ind w:left="1134"/>
        <w:jc w:val="both"/>
        <w:rPr>
          <w:rFonts w:ascii="Times New Roman" w:hAnsi="Times New Roman" w:cs="Times New Roman"/>
        </w:rPr>
      </w:pPr>
      <w:r>
        <w:rPr>
          <w:rFonts w:ascii="Times New Roman" w:hAnsi="Times New Roman" w:cs="Times New Roman"/>
        </w:rPr>
        <w:t>Può</w:t>
      </w:r>
      <w:r w:rsidRPr="00010F69">
        <w:rPr>
          <w:rFonts w:ascii="Times New Roman" w:hAnsi="Times New Roman" w:cs="Times New Roman"/>
        </w:rPr>
        <w:t xml:space="preserve"> coinvolgere il nervo ottico, il midollo</w:t>
      </w:r>
      <w:r>
        <w:rPr>
          <w:rFonts w:ascii="Times New Roman" w:hAnsi="Times New Roman" w:cs="Times New Roman"/>
        </w:rPr>
        <w:t xml:space="preserve"> spinale, il tronco encefalico,</w:t>
      </w:r>
      <w:r w:rsidRPr="00010F69">
        <w:rPr>
          <w:rFonts w:ascii="Times New Roman" w:hAnsi="Times New Roman" w:cs="Times New Roman"/>
        </w:rPr>
        <w:t xml:space="preserve"> il cervelletto o anche gli emisferi cerebrali. La sindrome clinicamente isolata più studiata in relazione alla </w:t>
      </w:r>
      <w:r>
        <w:rPr>
          <w:rFonts w:ascii="Times New Roman" w:hAnsi="Times New Roman" w:cs="Times New Roman"/>
        </w:rPr>
        <w:t>s</w:t>
      </w:r>
      <w:r w:rsidRPr="00010F69">
        <w:rPr>
          <w:rFonts w:ascii="Times New Roman" w:hAnsi="Times New Roman" w:cs="Times New Roman"/>
        </w:rPr>
        <w:t xml:space="preserve">clerosi </w:t>
      </w:r>
      <w:r>
        <w:rPr>
          <w:rFonts w:ascii="Times New Roman" w:hAnsi="Times New Roman" w:cs="Times New Roman"/>
        </w:rPr>
        <w:t>m</w:t>
      </w:r>
      <w:r w:rsidRPr="00010F69">
        <w:rPr>
          <w:rFonts w:ascii="Times New Roman" w:hAnsi="Times New Roman" w:cs="Times New Roman"/>
        </w:rPr>
        <w:t>ultipla è la neurite ottica, che ha un tasso di conversione in SM che varia tra il 10 e l’85% dei pazienti.</w:t>
      </w:r>
      <w:r w:rsidRPr="006C2258">
        <w:rPr>
          <w:rStyle w:val="Apice1"/>
        </w:rPr>
        <w:fldChar w:fldCharType="begin" w:fldLock="1"/>
      </w:r>
      <w:r w:rsidRPr="006C2258">
        <w:rPr>
          <w:rStyle w:val="Apice1"/>
        </w:rPr>
        <w:instrText>ADDIN CSL_CITATION { "citationItems" : [ { "id" : "ITEM-1", "itemData" : { "DOI" : "10.1001/archneur.65.6.727", "ISBN" : "0003-9942", "ISSN" : "1538-3687", "PMID" : "18541792", "abstract" : "OBJECTIVE To assess the risk of developing multiple sclerosis (MS) after optic neuritis and the factors predictive of high and low risk. DESIGN Subjects in the Optic Neuritis Treatment Trial, who were enrolled between July 1, 1988, and June 30, 1991, were followed up prospectively for 15 years, with the final examination in 2006. SETTING Neurologic and ophthalmologic examinations at 13 clinical sites. PARTICIPANTS Three hundred eighty-nine subjects with acute optic neuritis. MAIN OUTCOME MEASURES Development of MS and neurologic disability assessment. RESULTS The cumulative probability of developing MS by 15 years after onset of optic neuritis was 50% (95% confidence interval, 44%-56%) and strongly related to presence of lesions on a baseline non-contrast-enhanced magnetic resonance imaging (MRI) of the brain. Twenty-five percent of patients with no lesions on baseline brain MRI developed MS during follow-up compared with 72% of patients with 1 or more lesions. After 10 years, the risk of developing MS was very low for patients without baseline lesions but remained substantial for those with lesions. Among patients without lesions on MRI, baseline factors associated with a substantially lower risk for MS included male sex, optic disc swelling, and certain atypical features of optic neuritis. CONCLUSIONS The presence of brain MRI abnormalities at the time of an optic neuritis attack is a strong predictor of the 15-year risk of MS. In the absence of MRI-detected lesions, male sex, optic disc swelling, and atypical clinical features of optic neuritis are associated with a low likelihood of developing MS. This natural history information is important when considering prophylactic treatment for MS at the time of a first acute onset of optic neuritis.", "author" : [ { "dropping-particle" : "", "family" : "Optic Neuritis Study Group", "given" : "The Optic Neuritis Study", "non-dropping-particle" : "", "parse-names" : false, "suffix" : "" } ], "container-title" : "Archives of neurology", "id" : "ITEM-1", "issue" : "6", "issued" : { "date-parts" : [ [ "2008" ] ] }, "page" : "727-32", "title" : "Multiple sclerosis risk after optic neuritis: final optic neuritis treatment trial follow-up.", "type" : "article-journal", "volume" : "65" }, "uris" : [ "http://www.mendeley.com/documents/?uuid=9e12ac91-d656-4dc2-a367-c9f3cfa1fa92" ] }, { "id" : "ITEM-2", "itemData" : { "DOI" : "10.1093/brain/awm329", "ISBN" : "1460-2156", "ISSN" : "00068950", "PMID" : "18234696", "abstract" : "Clinically isolated syndromes (CIS), such as optic neuritis, brainstem or spinal cord syndromes are frequently the first clinical presentations of multiple sclerosis. However, not all CIS patients develop multiple sclerosis and in those who do, disability is highly variable. In previous follow-up studies, brain lesions on T2-weighted MRI are associated with increased risk of multiple sclerosis and to an extent disability. We evaluated the longitudinal relationships between the MRI lesions and clinical course over a period of 20 years. CIS patients were recruited between 1984 and 1987 and previously followed up after 1, 5, 10 and 14 years. Of the 140 subjects who were initially recruited with a CIS for a baseline MRI study, we followed up 107 patients after a mean of 20.2 years (range 18-27.7). Multiple sclerosis was diagnosed as clinically definite on clinical grounds only and disability determined using the Expanded Disability Status Scale (EDSS) and Multiple Sclerosis Functional Composite (MSFC) score. Clinically definite multiple sclerosis developed in 67 out of 107 (63%) overall: 60 out of 73 (82%) with abnormal and 7 out of 34 (21%) with normal baseline MRI. Multiple sclerosis was still relapsing-remitting in 39 (58%)--including 26 (39%) with a 'benign' course (EDSS &lt; or = 3)--whilst 28 (42%) had developed secondary progression. T2 lesion volume at all time-points correlated moderately with 20-year EDSS (r(s) values 0.48 to 0.67; P &lt; 0.001) and MSFC z-score [r(s) values (-0.50) to (-0.61); P &lt; 0.001]. In those developing multiple sclerosis, a concurrent correlation of change in T2 lesion volume with change in EDSS was most evident in years 0-5 (r(s) = 0.69, P &lt; 0.001). The estimated rate of lesion growth over 20 years was 0.80 cm3/year in those who retained a relapsing remitting multiple sclerosis course, and 2.89 cm3/year in those who developed secondary progressive multiple sclerosis, a difference of 2.09 cm3/year (95% CI: 0.77, 2.96; P &lt; 0.001). This study extends previous follow-up of CIS patients and sheds new light on how the lesions evolve according to the natural history. Baseline MRI findings are predictive for development of clinically definite multiple sclerosis. Lesion volume and its change at earlier time points are correlated with disability after 20 years. Lesion volume increases for at least 20 years in relapse-onset multiple sclerosis and the rate of lesion growth is three times higher in those who develop secondary progressive tha\u2026", "author" : [ { "dropping-particle" : "", "family" : "Fisniku", "given" : "L. K.", "non-dropping-particle" : "", "parse-names" : false, "suffix" : "" }, { "dropping-particle" : "", "family" : "Brex", "given" : "P. A.", "non-dropping-particle" : "", "parse-names" : false, "suffix" : "" }, { "dropping-particle" : "", "family" : "Altmann", "given" : "D. R.", "non-dropping-particle" : "", "parse-names" : false, "suffix" : "" }, { "dropping-particle" : "", "family" : "Miszkiel", "given" : "K. A.", "non-dropping-particle" : "", "parse-names" : false, "suffix" : "" }, { "dropping-particle" : "", "family" : "Benton", "given" : "C. E.", "non-dropping-particle" : "", "parse-names" : false, "suffix" : "" }, { "dropping-particle" : "", "family" : "Lanyon", "given" : "R.", "non-dropping-particle" : "", "parse-names" : false, "suffix" : "" }, { "dropping-particle" : "", "family" : "Thompson", "given" : "A. J.", "non-dropping-particle" : "", "parse-names" : false, "suffix" : "" }, { "dropping-particle" : "", "family" : "Miller", "given" : "D. H.", "non-dropping-particle" : "", "parse-names" : false, "suffix" : "" } ], "container-title" : "Brain", "id" : "ITEM-2", "issue" : "3", "issued" : { "date-parts" : [ [ "2008" ] ] }, "page" : "808-817", "title" : "Disability and T2 MRI lesions: A 20-year follow-up of patients with relapse onset of multiple sclerosis", "type" : "article-journal", "volume" : "131" }, "uris" : [ "http://www.mendeley.com/documents/?uuid=86e1f000-4d3b-414d-b74e-352992ebfb8c" ] } ], "mendeley" : { "formattedCitation" : "&lt;sup&gt;58,59&lt;/sup&gt;", "plainTextFormattedCitation" : "58,59", "previouslyFormattedCitation" : "&lt;sup&gt;58,59&lt;/sup&gt;" }, "properties" : { "noteIndex" : 0 }, "schema" : "https://github.com/citation-style-language/schema/raw/master/csl-citation.json" }</w:instrText>
      </w:r>
      <w:r w:rsidRPr="006C2258">
        <w:rPr>
          <w:rStyle w:val="Apice1"/>
        </w:rPr>
        <w:fldChar w:fldCharType="separate"/>
      </w:r>
      <w:r w:rsidRPr="006C2258">
        <w:rPr>
          <w:rStyle w:val="Apice1"/>
          <w:noProof/>
        </w:rPr>
        <w:t>58,59</w:t>
      </w:r>
      <w:r w:rsidRPr="006C2258">
        <w:rPr>
          <w:rStyle w:val="Apice1"/>
        </w:rPr>
        <w:fldChar w:fldCharType="end"/>
      </w:r>
      <w:r w:rsidRPr="00010F69">
        <w:rPr>
          <w:rFonts w:ascii="Times New Roman" w:hAnsi="Times New Roman" w:cs="Times New Roman"/>
        </w:rPr>
        <w:t xml:space="preserve"> </w:t>
      </w:r>
    </w:p>
    <w:p w:rsidR="000B5210" w:rsidRPr="00010F69" w:rsidRDefault="000B5210" w:rsidP="000B5210">
      <w:pPr>
        <w:widowControl w:val="0"/>
        <w:autoSpaceDE w:val="0"/>
        <w:autoSpaceDN w:val="0"/>
        <w:adjustRightInd w:val="0"/>
        <w:spacing w:line="360" w:lineRule="auto"/>
        <w:ind w:left="1134"/>
        <w:jc w:val="both"/>
        <w:rPr>
          <w:rFonts w:ascii="Times New Roman" w:hAnsi="Times New Roman" w:cs="Times New Roman"/>
        </w:rPr>
      </w:pPr>
      <w:r w:rsidRPr="00010F69">
        <w:rPr>
          <w:rFonts w:ascii="Times New Roman" w:hAnsi="Times New Roman" w:cs="Times New Roman"/>
        </w:rPr>
        <w:t xml:space="preserve">Le diverse manifestazioni di sindrome clinicamente isolata, suddivise in tipiche e atipiche, sono riassunte nella </w:t>
      </w:r>
      <w:r w:rsidRPr="00A55579">
        <w:rPr>
          <w:rFonts w:ascii="Times New Roman" w:hAnsi="Times New Roman" w:cs="Times New Roman"/>
        </w:rPr>
        <w:t>tabella</w:t>
      </w:r>
      <w:r w:rsidRPr="00017043">
        <w:rPr>
          <w:rFonts w:ascii="Times New Roman" w:hAnsi="Times New Roman" w:cs="Times New Roman"/>
        </w:rPr>
        <w:t xml:space="preserve"> I</w:t>
      </w:r>
      <w:r>
        <w:rPr>
          <w:rFonts w:ascii="Times New Roman" w:hAnsi="Times New Roman" w:cs="Times New Roman"/>
        </w:rPr>
        <w:t>.</w:t>
      </w:r>
    </w:p>
    <w:p w:rsidR="000B5210" w:rsidRDefault="000B5210" w:rsidP="000B5210">
      <w:pPr>
        <w:pStyle w:val="Didascalia"/>
        <w:keepNext/>
        <w:ind w:left="1134"/>
        <w:jc w:val="both"/>
      </w:pPr>
      <w:r>
        <w:t xml:space="preserve">Tabella </w:t>
      </w:r>
      <w:r>
        <w:rPr>
          <w:noProof/>
        </w:rPr>
        <w:fldChar w:fldCharType="begin"/>
      </w:r>
      <w:r>
        <w:rPr>
          <w:noProof/>
        </w:rPr>
        <w:instrText xml:space="preserve"> SEQ Tabella \* ROMAN </w:instrText>
      </w:r>
      <w:r>
        <w:rPr>
          <w:noProof/>
        </w:rPr>
        <w:fldChar w:fldCharType="separate"/>
      </w:r>
      <w:r>
        <w:rPr>
          <w:noProof/>
        </w:rPr>
        <w:t>I</w:t>
      </w:r>
      <w:r>
        <w:rPr>
          <w:noProof/>
        </w:rPr>
        <w:fldChar w:fldCharType="end"/>
      </w:r>
      <w:r>
        <w:t>: Tabella CIS. Le manifestazioni cliniche di sindrome clinicamente isolata sono state suddivise per regione neuroanatomica in tipiche per SM o atipiche per SM</w:t>
      </w:r>
      <w:r w:rsidRPr="006C2258">
        <w:rPr>
          <w:rStyle w:val="Apice1"/>
        </w:rPr>
        <w:fldChar w:fldCharType="begin" w:fldLock="1"/>
      </w:r>
      <w:r w:rsidRPr="006C2258">
        <w:rPr>
          <w:rStyle w:val="Apice1"/>
        </w:rPr>
        <w:instrText>ADDIN CSL_CITATION { "citationItems" : [ { "id" : "ITEM-1", "itemData" : { "DOI" : "10.1016/S1474-4422(11)70274-5", "ISBN" : "1474-4422", "ISSN" : "14744422", "PMID" : "22265211", "abstract" : "Clinically isolated syndrome (CIS) is a term that describes a first clinical episode with features suggestive of multiple sclerosis (MS). It usually occurs in young adults and affects optic nerves, the brainstem, or the spinal cord. Although patients usually recover from their presenting episode, CIS is often the first manifestation of MS. The most notable risk factors for MS are clinically silent MRI lesions and CSF oligoclonal bands; weak or uncertain risk factors include vitamin D deficiency, Epstein-Barr virus infection, smoking, HLA genes, and miscellaneous immunological abnormalities. Diagnostic investigations including MRI aim to exclude alternative causes and to define the risk for MS. MRI findings incorporated into diagnostic criteria in the past decade enable MS to be diagnosed at or soon after CIS presentation. The course of MS after CIS is variable: after 15-20 years, a third of patients have a benign course with minimal or no disability and a half will have developed secondary progressive MS with increasing disability. Prediction of the long-term course at disease onset is unreliable. Disease-modifying treatments delay the development from CIS to MS. Their use in CIS is limited by uncertain long-term clinical prognosis and treatment benefits and adverse effects, although they have the potential to prevent or delay future tissue damage, including demyelination and axonal loss. Targets for future therapeutic progress are to achieve safe and effective long-term immunomodulation with neuroprotection and repair. ?? 2012 Elsevier Ltd.", "author" : [ { "dropping-particle" : "", "family" : "Miller", "given" : "David H.", "non-dropping-particle" : "", "parse-names" : false, "suffix" : "" }, { "dropping-particle" : "", "family" : "Chard", "given" : "Declan T.", "non-dropping-particle" : "", "parse-names" : false, "suffix" : "" }, { "dropping-particle" : "", "family" : "Ciccarelli", "given" : "Olga", "non-dropping-particle" : "", "parse-names" : false, "suffix" : "" } ], "container-title" : "The Lancet Neurology", "id" : "ITEM-1", "issue" : "2", "issued" : { "date-parts" : [ [ "2012" ] ] }, "page" : "157-169", "publisher" : "Elsevier Ltd", "title" : "Clinically isolated syndromes", "type" : "article-journal", "volume" : "11" }, "uris" : [ "http://www.mendeley.com/documents/?uuid=8c344d6c-2e73-496e-811b-106d53cd9bd6" ] } ], "mendeley" : { "formattedCitation" : "&lt;sup&gt;60&lt;/sup&gt;", "plainTextFormattedCitation" : "60", "previouslyFormattedCitation" : "&lt;sup&gt;60&lt;/sup&gt;" }, "properties" : { "noteIndex" : 0 }, "schema" : "https://github.com/citation-style-language/schema/raw/master/csl-citation.json" }</w:instrText>
      </w:r>
      <w:r w:rsidRPr="006C2258">
        <w:rPr>
          <w:rStyle w:val="Apice1"/>
        </w:rPr>
        <w:fldChar w:fldCharType="separate"/>
      </w:r>
      <w:r w:rsidRPr="006C2258">
        <w:rPr>
          <w:rStyle w:val="Apice1"/>
          <w:noProof/>
        </w:rPr>
        <w:t>60</w:t>
      </w:r>
      <w:r w:rsidRPr="006C2258">
        <w:rPr>
          <w:rStyle w:val="Apice1"/>
        </w:rPr>
        <w:fldChar w:fldCharType="end"/>
      </w:r>
    </w:p>
    <w:tbl>
      <w:tblPr>
        <w:tblStyle w:val="Grigliatabella"/>
        <w:tblW w:w="8003" w:type="dxa"/>
        <w:tblInd w:w="1204" w:type="dxa"/>
        <w:tblLook w:val="04A0" w:firstRow="1" w:lastRow="0" w:firstColumn="1" w:lastColumn="0" w:noHBand="0" w:noVBand="1"/>
      </w:tblPr>
      <w:tblGrid>
        <w:gridCol w:w="8003"/>
      </w:tblGrid>
      <w:tr w:rsidR="000B5210" w:rsidRPr="00010F69" w:rsidTr="001C4876">
        <w:tc>
          <w:tcPr>
            <w:tcW w:w="8003" w:type="dxa"/>
          </w:tcPr>
          <w:p w:rsidR="000B5210" w:rsidRPr="00010F69" w:rsidRDefault="000B5210" w:rsidP="001C4876">
            <w:pPr>
              <w:widowControl w:val="0"/>
              <w:autoSpaceDE w:val="0"/>
              <w:autoSpaceDN w:val="0"/>
              <w:adjustRightInd w:val="0"/>
              <w:spacing w:line="280" w:lineRule="atLeast"/>
              <w:jc w:val="both"/>
              <w:rPr>
                <w:rFonts w:ascii="Times New Roman" w:hAnsi="Times New Roman" w:cs="Times New Roman"/>
                <w:color w:val="000000"/>
                <w:sz w:val="22"/>
                <w:szCs w:val="22"/>
              </w:rPr>
            </w:pPr>
            <w:r>
              <w:rPr>
                <w:rFonts w:ascii="Times New Roman" w:hAnsi="Times New Roman" w:cs="Times New Roman"/>
                <w:b/>
                <w:bCs/>
                <w:color w:val="000000"/>
                <w:sz w:val="22"/>
                <w:szCs w:val="22"/>
              </w:rPr>
              <w:t>Nervo o</w:t>
            </w:r>
            <w:r w:rsidRPr="00010F69">
              <w:rPr>
                <w:rFonts w:ascii="Times New Roman" w:hAnsi="Times New Roman" w:cs="Times New Roman"/>
                <w:b/>
                <w:bCs/>
                <w:color w:val="000000"/>
                <w:sz w:val="22"/>
                <w:szCs w:val="22"/>
              </w:rPr>
              <w:t xml:space="preserve">ttico </w:t>
            </w:r>
          </w:p>
        </w:tc>
      </w:tr>
      <w:tr w:rsidR="000B5210" w:rsidRPr="00010F69" w:rsidTr="001C4876">
        <w:tc>
          <w:tcPr>
            <w:tcW w:w="8003" w:type="dxa"/>
          </w:tcPr>
          <w:p w:rsidR="000B5210" w:rsidRPr="00010F69" w:rsidRDefault="000B5210" w:rsidP="001C4876">
            <w:pPr>
              <w:widowControl w:val="0"/>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i/>
                <w:iCs/>
                <w:color w:val="000000"/>
                <w:sz w:val="22"/>
                <w:szCs w:val="22"/>
              </w:rPr>
              <w:t>Caratteristiche t</w:t>
            </w:r>
            <w:r w:rsidRPr="00010F69">
              <w:rPr>
                <w:rFonts w:ascii="Times New Roman" w:hAnsi="Times New Roman" w:cs="Times New Roman"/>
                <w:i/>
                <w:iCs/>
                <w:color w:val="000000"/>
                <w:sz w:val="22"/>
                <w:szCs w:val="22"/>
              </w:rPr>
              <w:t xml:space="preserve">ipiche </w:t>
            </w:r>
            <w:r w:rsidRPr="00010F69">
              <w:rPr>
                <w:rFonts w:ascii="Times New Roman" w:hAnsi="Times New Roman" w:cs="Times New Roman"/>
                <w:color w:val="000000"/>
                <w:sz w:val="22"/>
                <w:szCs w:val="22"/>
              </w:rPr>
              <w:br/>
              <w:t xml:space="preserve">• Neurite ottica </w:t>
            </w:r>
            <w:proofErr w:type="spellStart"/>
            <w:r w:rsidRPr="00010F69">
              <w:rPr>
                <w:rFonts w:ascii="Times New Roman" w:hAnsi="Times New Roman" w:cs="Times New Roman"/>
                <w:color w:val="000000"/>
                <w:sz w:val="22"/>
                <w:szCs w:val="22"/>
              </w:rPr>
              <w:t>monofocale</w:t>
            </w:r>
            <w:proofErr w:type="spellEnd"/>
            <w:r w:rsidRPr="00010F69">
              <w:rPr>
                <w:rFonts w:ascii="Times New Roman" w:hAnsi="Times New Roman" w:cs="Times New Roman"/>
                <w:color w:val="000000"/>
                <w:sz w:val="22"/>
                <w:szCs w:val="22"/>
              </w:rPr>
              <w:t xml:space="preserve"> • Lieve dolore ai movimenti oculari • Ridotta acuità visiva e visione dei colori </w:t>
            </w:r>
            <w:r w:rsidRPr="00010F69">
              <w:rPr>
                <w:rFonts w:ascii="Times New Roman" w:hAnsi="Times New Roman" w:cs="Times New Roman"/>
                <w:color w:val="000000"/>
                <w:sz w:val="22"/>
                <w:szCs w:val="22"/>
              </w:rPr>
              <w:br/>
              <w:t xml:space="preserve">• Disco ottico normale o leggero </w:t>
            </w:r>
            <w:proofErr w:type="spellStart"/>
            <w:r w:rsidRPr="00010F69">
              <w:rPr>
                <w:rFonts w:ascii="Times New Roman" w:hAnsi="Times New Roman" w:cs="Times New Roman"/>
                <w:color w:val="000000"/>
                <w:sz w:val="22"/>
                <w:szCs w:val="22"/>
              </w:rPr>
              <w:t>swelling</w:t>
            </w:r>
            <w:proofErr w:type="spellEnd"/>
            <w:r w:rsidRPr="00010F69">
              <w:rPr>
                <w:rFonts w:ascii="Times New Roman" w:eastAsia="MS Mincho" w:hAnsi="Times New Roman" w:cs="Times New Roman"/>
                <w:color w:val="000000"/>
                <w:sz w:val="22"/>
                <w:szCs w:val="22"/>
              </w:rPr>
              <w:t xml:space="preserve"> </w:t>
            </w:r>
            <w:r w:rsidRPr="00010F69">
              <w:rPr>
                <w:rFonts w:ascii="Times New Roman" w:hAnsi="Times New Roman" w:cs="Times New Roman"/>
                <w:color w:val="000000"/>
                <w:sz w:val="22"/>
                <w:szCs w:val="22"/>
              </w:rPr>
              <w:t>• Il miglioramento inizia entro 3 settimane dall’</w:t>
            </w:r>
            <w:proofErr w:type="spellStart"/>
            <w:r w:rsidRPr="00010F69">
              <w:rPr>
                <w:rFonts w:ascii="Times New Roman" w:hAnsi="Times New Roman" w:cs="Times New Roman"/>
                <w:color w:val="000000"/>
                <w:sz w:val="22"/>
                <w:szCs w:val="22"/>
              </w:rPr>
              <w:t>onset</w:t>
            </w:r>
            <w:proofErr w:type="spellEnd"/>
            <w:r w:rsidRPr="00010F69">
              <w:rPr>
                <w:rFonts w:ascii="Times New Roman" w:hAnsi="Times New Roman" w:cs="Times New Roman"/>
                <w:color w:val="000000"/>
                <w:sz w:val="22"/>
                <w:szCs w:val="22"/>
              </w:rPr>
              <w:t xml:space="preserve"> • Deficit pupillare afferente</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i/>
                <w:iCs/>
                <w:color w:val="000000"/>
                <w:sz w:val="22"/>
                <w:szCs w:val="22"/>
              </w:rPr>
              <w:t>Caratteristiche a</w:t>
            </w:r>
            <w:r w:rsidRPr="00010F69">
              <w:rPr>
                <w:rFonts w:ascii="Times New Roman" w:hAnsi="Times New Roman" w:cs="Times New Roman"/>
                <w:i/>
                <w:iCs/>
                <w:color w:val="000000"/>
                <w:sz w:val="22"/>
                <w:szCs w:val="22"/>
              </w:rPr>
              <w:t xml:space="preserve">tipiche </w:t>
            </w:r>
            <w:r w:rsidRPr="00010F69">
              <w:rPr>
                <w:rFonts w:ascii="MS Mincho" w:eastAsia="MS Mincho" w:hAnsi="MS Mincho" w:cs="MS Mincho"/>
                <w:color w:val="000000"/>
                <w:sz w:val="22"/>
                <w:szCs w:val="22"/>
              </w:rPr>
              <w:t> </w:t>
            </w:r>
            <w:r w:rsidRPr="00010F69">
              <w:rPr>
                <w:rFonts w:ascii="Times New Roman" w:hAnsi="Times New Roman" w:cs="Times New Roman"/>
                <w:color w:val="000000"/>
                <w:sz w:val="22"/>
                <w:szCs w:val="22"/>
              </w:rPr>
              <w:br/>
              <w:t xml:space="preserve">• Neurite ottica bilaterale  • Senza dolore o con dolore molto severo • No percezione della luce • Severa emorragia ed essudato • Estesa perdita del visus • </w:t>
            </w:r>
            <w:proofErr w:type="spellStart"/>
            <w:r w:rsidRPr="00010F69">
              <w:rPr>
                <w:rFonts w:ascii="Times New Roman" w:hAnsi="Times New Roman" w:cs="Times New Roman"/>
                <w:color w:val="000000"/>
                <w:sz w:val="22"/>
                <w:szCs w:val="22"/>
              </w:rPr>
              <w:t>Vitr</w:t>
            </w:r>
            <w:r>
              <w:rPr>
                <w:rFonts w:ascii="Times New Roman" w:hAnsi="Times New Roman" w:cs="Times New Roman"/>
                <w:color w:val="000000"/>
                <w:sz w:val="22"/>
                <w:szCs w:val="22"/>
              </w:rPr>
              <w:t>e</w:t>
            </w:r>
            <w:r w:rsidRPr="00010F69">
              <w:rPr>
                <w:rFonts w:ascii="Times New Roman" w:hAnsi="Times New Roman" w:cs="Times New Roman"/>
                <w:color w:val="000000"/>
                <w:sz w:val="22"/>
                <w:szCs w:val="22"/>
              </w:rPr>
              <w:t>ite</w:t>
            </w:r>
            <w:proofErr w:type="spellEnd"/>
            <w:r w:rsidRPr="00010F69">
              <w:rPr>
                <w:rFonts w:ascii="Times New Roman" w:hAnsi="Times New Roman" w:cs="Times New Roman"/>
                <w:color w:val="000000"/>
                <w:sz w:val="22"/>
                <w:szCs w:val="22"/>
              </w:rPr>
              <w:t xml:space="preserve"> e </w:t>
            </w:r>
            <w:proofErr w:type="spellStart"/>
            <w:r w:rsidRPr="00010F69">
              <w:rPr>
                <w:rFonts w:ascii="Times New Roman" w:hAnsi="Times New Roman" w:cs="Times New Roman"/>
                <w:color w:val="000000"/>
                <w:sz w:val="22"/>
                <w:szCs w:val="22"/>
              </w:rPr>
              <w:t>neuroretinite</w:t>
            </w:r>
            <w:proofErr w:type="spellEnd"/>
            <w:r w:rsidRPr="00010F69">
              <w:rPr>
                <w:rFonts w:ascii="Times New Roman" w:hAnsi="Times New Roman" w:cs="Times New Roman"/>
                <w:color w:val="000000"/>
                <w:sz w:val="22"/>
                <w:szCs w:val="22"/>
              </w:rPr>
              <w:t xml:space="preserve"> • Fotofobia</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b/>
                <w:bCs/>
                <w:color w:val="000000"/>
                <w:sz w:val="22"/>
                <w:szCs w:val="22"/>
              </w:rPr>
              <w:t>Tronco encefalico o c</w:t>
            </w:r>
            <w:r w:rsidRPr="00010F69">
              <w:rPr>
                <w:rFonts w:ascii="Times New Roman" w:hAnsi="Times New Roman" w:cs="Times New Roman"/>
                <w:b/>
                <w:bCs/>
                <w:color w:val="000000"/>
                <w:sz w:val="22"/>
                <w:szCs w:val="22"/>
              </w:rPr>
              <w:t xml:space="preserve">ervelletto </w:t>
            </w:r>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i/>
                <w:iCs/>
                <w:color w:val="000000"/>
                <w:sz w:val="22"/>
                <w:szCs w:val="22"/>
              </w:rPr>
              <w:t>Caratteristiche t</w:t>
            </w:r>
            <w:r w:rsidRPr="00010F69">
              <w:rPr>
                <w:rFonts w:ascii="Times New Roman" w:hAnsi="Times New Roman" w:cs="Times New Roman"/>
                <w:i/>
                <w:iCs/>
                <w:color w:val="000000"/>
                <w:sz w:val="22"/>
                <w:szCs w:val="22"/>
              </w:rPr>
              <w:t xml:space="preserve">ipiche </w:t>
            </w:r>
            <w:r w:rsidRPr="00010F69">
              <w:rPr>
                <w:rFonts w:ascii="MS Mincho" w:eastAsia="MS Mincho" w:hAnsi="MS Mincho" w:cs="MS Mincho"/>
                <w:color w:val="000000"/>
                <w:sz w:val="22"/>
                <w:szCs w:val="22"/>
              </w:rPr>
              <w:t> </w:t>
            </w:r>
            <w:r w:rsidRPr="00010F69">
              <w:rPr>
                <w:rFonts w:ascii="Times New Roman" w:hAnsi="Times New Roman" w:cs="Times New Roman"/>
                <w:color w:val="000000"/>
                <w:sz w:val="22"/>
                <w:szCs w:val="22"/>
              </w:rPr>
              <w:br/>
              <w:t>• Oftalmoplegia internucleare bilaterale • Atassia e nistagmo evocato da fissazione</w:t>
            </w:r>
            <w:r>
              <w:rPr>
                <w:rFonts w:ascii="Times New Roman" w:hAnsi="Times New Roman" w:cs="Times New Roman"/>
                <w:color w:val="000000"/>
                <w:sz w:val="22"/>
                <w:szCs w:val="22"/>
              </w:rPr>
              <w:br/>
            </w:r>
            <w:r w:rsidRPr="00010F69">
              <w:rPr>
                <w:rFonts w:ascii="Times New Roman" w:hAnsi="Times New Roman" w:cs="Times New Roman"/>
                <w:color w:val="000000"/>
                <w:sz w:val="22"/>
                <w:szCs w:val="22"/>
              </w:rPr>
              <w:lastRenderedPageBreak/>
              <w:t>•</w:t>
            </w:r>
            <w:r>
              <w:rPr>
                <w:rFonts w:ascii="Times New Roman" w:hAnsi="Times New Roman" w:cs="Times New Roman"/>
                <w:color w:val="000000"/>
                <w:sz w:val="22"/>
                <w:szCs w:val="22"/>
              </w:rPr>
              <w:t xml:space="preserve"> </w:t>
            </w:r>
            <w:r w:rsidRPr="00010F69">
              <w:rPr>
                <w:rFonts w:ascii="Times New Roman" w:hAnsi="Times New Roman" w:cs="Times New Roman"/>
                <w:color w:val="000000"/>
                <w:sz w:val="22"/>
                <w:szCs w:val="22"/>
              </w:rPr>
              <w:t xml:space="preserve">Paralisi del sesto nervo cranico (in pz tra i 20 e 40 anni) • Fenomeni parossistici (che durano almeno 24 ore) • Segni multifocali (ad es. ipoestesia facciale </w:t>
            </w:r>
            <w:r>
              <w:rPr>
                <w:rFonts w:ascii="Times New Roman" w:hAnsi="Times New Roman" w:cs="Times New Roman"/>
                <w:color w:val="000000"/>
                <w:sz w:val="22"/>
                <w:szCs w:val="22"/>
              </w:rPr>
              <w:t>e</w:t>
            </w:r>
            <w:r w:rsidRPr="00010F69">
              <w:rPr>
                <w:rFonts w:ascii="Times New Roman" w:hAnsi="Times New Roman" w:cs="Times New Roman"/>
                <w:color w:val="000000"/>
                <w:sz w:val="22"/>
                <w:szCs w:val="22"/>
              </w:rPr>
              <w:t xml:space="preserve"> vertigine) </w:t>
            </w:r>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i/>
                <w:iCs/>
                <w:color w:val="000000"/>
                <w:sz w:val="22"/>
                <w:szCs w:val="22"/>
              </w:rPr>
              <w:lastRenderedPageBreak/>
              <w:t>Caratteristiche a</w:t>
            </w:r>
            <w:r w:rsidRPr="00010F69">
              <w:rPr>
                <w:rFonts w:ascii="Times New Roman" w:hAnsi="Times New Roman" w:cs="Times New Roman"/>
                <w:i/>
                <w:iCs/>
                <w:color w:val="000000"/>
                <w:sz w:val="22"/>
                <w:szCs w:val="22"/>
              </w:rPr>
              <w:t xml:space="preserve">tipiche </w:t>
            </w:r>
            <w:r w:rsidRPr="00010F69">
              <w:rPr>
                <w:rFonts w:ascii="MS Mincho" w:eastAsia="MS Mincho" w:hAnsi="MS Mincho" w:cs="MS Mincho"/>
                <w:color w:val="000000"/>
                <w:sz w:val="22"/>
                <w:szCs w:val="22"/>
              </w:rPr>
              <w:t> </w:t>
            </w:r>
            <w:r w:rsidRPr="00010F69">
              <w:rPr>
                <w:rFonts w:ascii="Times New Roman" w:hAnsi="Times New Roman" w:cs="Times New Roman"/>
                <w:color w:val="000000"/>
                <w:sz w:val="22"/>
                <w:szCs w:val="22"/>
              </w:rPr>
              <w:br/>
              <w:t xml:space="preserve">• Oftalmoplegia completa • Segni associati a territori vascolari • Nevralgia del trigemino isolata • Neuropatia progressiva trigeminale • Disturbi del movimento • Debolezza oculare o bulbare fluttuante </w:t>
            </w:r>
          </w:p>
        </w:tc>
      </w:tr>
      <w:tr w:rsidR="000B5210" w:rsidRPr="00010F69" w:rsidTr="001C4876">
        <w:tc>
          <w:tcPr>
            <w:tcW w:w="8003" w:type="dxa"/>
          </w:tcPr>
          <w:p w:rsidR="000B5210" w:rsidRPr="00010F69" w:rsidRDefault="000B5210" w:rsidP="001C4876">
            <w:pPr>
              <w:widowControl w:val="0"/>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b/>
                <w:bCs/>
                <w:color w:val="000000"/>
                <w:sz w:val="22"/>
                <w:szCs w:val="22"/>
              </w:rPr>
              <w:t>Midollo s</w:t>
            </w:r>
            <w:r w:rsidRPr="00010F69">
              <w:rPr>
                <w:rFonts w:ascii="Times New Roman" w:hAnsi="Times New Roman" w:cs="Times New Roman"/>
                <w:b/>
                <w:bCs/>
                <w:color w:val="000000"/>
                <w:sz w:val="22"/>
                <w:szCs w:val="22"/>
              </w:rPr>
              <w:t xml:space="preserve">pinale </w:t>
            </w:r>
          </w:p>
        </w:tc>
      </w:tr>
      <w:tr w:rsidR="000B5210" w:rsidRPr="00010F69" w:rsidTr="001C4876">
        <w:tc>
          <w:tcPr>
            <w:tcW w:w="8003" w:type="dxa"/>
          </w:tcPr>
          <w:p w:rsidR="000B5210" w:rsidRPr="00010F69" w:rsidRDefault="000B5210" w:rsidP="001C4876">
            <w:pPr>
              <w:widowControl w:val="0"/>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i/>
                <w:iCs/>
                <w:color w:val="000000"/>
                <w:sz w:val="22"/>
                <w:szCs w:val="22"/>
              </w:rPr>
              <w:t>Caratteristiche t</w:t>
            </w:r>
            <w:r w:rsidRPr="00010F69">
              <w:rPr>
                <w:rFonts w:ascii="Times New Roman" w:hAnsi="Times New Roman" w:cs="Times New Roman"/>
                <w:i/>
                <w:iCs/>
                <w:color w:val="000000"/>
                <w:sz w:val="22"/>
                <w:szCs w:val="22"/>
              </w:rPr>
              <w:t>ipiche</w:t>
            </w:r>
            <w:r w:rsidRPr="00010F69">
              <w:rPr>
                <w:rFonts w:ascii="Times New Roman" w:hAnsi="Times New Roman" w:cs="Times New Roman"/>
                <w:color w:val="000000"/>
                <w:sz w:val="22"/>
                <w:szCs w:val="22"/>
              </w:rPr>
              <w:br/>
              <w:t xml:space="preserve">• Mielite trasversa incompleta • Segno di </w:t>
            </w:r>
            <w:proofErr w:type="spellStart"/>
            <w:r w:rsidRPr="00010F69">
              <w:rPr>
                <w:rFonts w:ascii="Times New Roman" w:hAnsi="Times New Roman" w:cs="Times New Roman"/>
                <w:color w:val="000000"/>
                <w:sz w:val="22"/>
                <w:szCs w:val="22"/>
              </w:rPr>
              <w:t>Lhermitte</w:t>
            </w:r>
            <w:proofErr w:type="spellEnd"/>
            <w:r w:rsidRPr="00010F69">
              <w:rPr>
                <w:rFonts w:ascii="Times New Roman" w:hAnsi="Times New Roman" w:cs="Times New Roman"/>
                <w:color w:val="000000"/>
                <w:sz w:val="22"/>
                <w:szCs w:val="22"/>
              </w:rPr>
              <w:t xml:space="preserve"> • Sintomi sfinterici • Debolezza asimmetrica agli arti </w:t>
            </w:r>
            <w:r w:rsidRPr="00010F69">
              <w:rPr>
                <w:rFonts w:ascii="Times New Roman" w:hAnsi="Times New Roman" w:cs="Times New Roman"/>
                <w:color w:val="000000"/>
                <w:sz w:val="22"/>
                <w:szCs w:val="22"/>
              </w:rPr>
              <w:br/>
              <w:t>• Deafferentazione arto terminale • Risoluzione tra le 4h e i 21 giorni</w:t>
            </w:r>
            <w:r w:rsidRPr="00010F69">
              <w:rPr>
                <w:rFonts w:ascii="Times New Roman" w:hAnsi="Times New Roman" w:cs="Times New Roman"/>
                <w:color w:val="000000"/>
                <w:position w:val="8"/>
                <w:sz w:val="22"/>
                <w:szCs w:val="22"/>
              </w:rPr>
              <w:t xml:space="preserve"> </w:t>
            </w:r>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hAnsi="Times New Roman" w:cs="Times New Roman"/>
                <w:color w:val="000000"/>
                <w:sz w:val="22"/>
                <w:szCs w:val="22"/>
              </w:rPr>
            </w:pPr>
            <w:r>
              <w:rPr>
                <w:rFonts w:ascii="Times New Roman" w:hAnsi="Times New Roman" w:cs="Times New Roman"/>
                <w:i/>
                <w:iCs/>
                <w:color w:val="000000"/>
                <w:sz w:val="22"/>
                <w:szCs w:val="22"/>
              </w:rPr>
              <w:t>Caratteristiche a</w:t>
            </w:r>
            <w:r w:rsidRPr="00010F69">
              <w:rPr>
                <w:rFonts w:ascii="Times New Roman" w:hAnsi="Times New Roman" w:cs="Times New Roman"/>
                <w:i/>
                <w:iCs/>
                <w:color w:val="000000"/>
                <w:sz w:val="22"/>
                <w:szCs w:val="22"/>
              </w:rPr>
              <w:t xml:space="preserve">tipiche </w:t>
            </w:r>
            <w:r w:rsidRPr="00010F69">
              <w:rPr>
                <w:rFonts w:ascii="MS Mincho" w:eastAsia="MS Mincho" w:hAnsi="MS Mincho" w:cs="MS Mincho"/>
                <w:color w:val="000000"/>
                <w:sz w:val="22"/>
                <w:szCs w:val="22"/>
              </w:rPr>
              <w:t> </w:t>
            </w:r>
            <w:r w:rsidRPr="00010F69">
              <w:rPr>
                <w:rFonts w:ascii="Times New Roman" w:hAnsi="Times New Roman" w:cs="Times New Roman"/>
                <w:color w:val="000000"/>
                <w:sz w:val="22"/>
                <w:szCs w:val="22"/>
              </w:rPr>
              <w:br/>
              <w:t xml:space="preserve">• Mielite trasversa completa • Sindrome di </w:t>
            </w:r>
            <w:proofErr w:type="spellStart"/>
            <w:r w:rsidRPr="00010F69">
              <w:rPr>
                <w:rFonts w:ascii="Times New Roman" w:hAnsi="Times New Roman" w:cs="Times New Roman"/>
                <w:color w:val="000000"/>
                <w:sz w:val="22"/>
                <w:szCs w:val="22"/>
              </w:rPr>
              <w:t>Brown-Séq</w:t>
            </w:r>
            <w:r>
              <w:rPr>
                <w:rFonts w:ascii="Times New Roman" w:hAnsi="Times New Roman" w:cs="Times New Roman"/>
                <w:color w:val="000000"/>
                <w:sz w:val="22"/>
                <w:szCs w:val="22"/>
              </w:rPr>
              <w:t>uard</w:t>
            </w:r>
            <w:proofErr w:type="spellEnd"/>
            <w:r>
              <w:rPr>
                <w:rFonts w:ascii="Times New Roman" w:hAnsi="Times New Roman" w:cs="Times New Roman"/>
                <w:color w:val="000000"/>
                <w:sz w:val="22"/>
                <w:szCs w:val="22"/>
              </w:rPr>
              <w:t xml:space="preserve"> completa • Sindrome della </w:t>
            </w:r>
            <w:proofErr w:type="spellStart"/>
            <w:r>
              <w:rPr>
                <w:rFonts w:ascii="Times New Roman" w:hAnsi="Times New Roman" w:cs="Times New Roman"/>
                <w:color w:val="000000"/>
                <w:sz w:val="22"/>
                <w:szCs w:val="22"/>
              </w:rPr>
              <w:t>c</w:t>
            </w:r>
            <w:r w:rsidRPr="00010F69">
              <w:rPr>
                <w:rFonts w:ascii="Times New Roman" w:hAnsi="Times New Roman" w:cs="Times New Roman"/>
                <w:color w:val="000000"/>
                <w:sz w:val="22"/>
                <w:szCs w:val="22"/>
              </w:rPr>
              <w:t>auda</w:t>
            </w:r>
            <w:proofErr w:type="spellEnd"/>
            <w:r w:rsidRPr="00010F69">
              <w:rPr>
                <w:rFonts w:ascii="Times New Roman" w:hAnsi="Times New Roman" w:cs="Times New Roman"/>
                <w:color w:val="000000"/>
                <w:sz w:val="22"/>
                <w:szCs w:val="22"/>
              </w:rPr>
              <w:t xml:space="preserve"> equina </w:t>
            </w:r>
            <w:r w:rsidRPr="00010F69">
              <w:rPr>
                <w:rFonts w:ascii="Times New Roman" w:hAnsi="Times New Roman" w:cs="Times New Roman"/>
                <w:color w:val="000000"/>
                <w:sz w:val="22"/>
                <w:szCs w:val="22"/>
              </w:rPr>
              <w:br/>
              <w:t xml:space="preserve">• Territorio di lesione dell’arteria spinale anteriore • Dolore localizzato o radicolare • Paraparesi spastica progressiva e simmetrica o atassia sensitiva progressiva (da coinvolgimento delle colonne posteriori) </w:t>
            </w:r>
            <w:r w:rsidRPr="00010F69">
              <w:rPr>
                <w:rFonts w:ascii="Times New Roman" w:hAnsi="Times New Roman" w:cs="Times New Roman"/>
                <w:color w:val="000000"/>
                <w:sz w:val="22"/>
                <w:szCs w:val="22"/>
              </w:rPr>
              <w:br/>
              <w:t xml:space="preserve">• Aumento dei livelli di tutte le modalità sensitive • </w:t>
            </w:r>
            <w:proofErr w:type="spellStart"/>
            <w:r w:rsidRPr="00010F69">
              <w:rPr>
                <w:rFonts w:ascii="Times New Roman" w:hAnsi="Times New Roman" w:cs="Times New Roman"/>
                <w:color w:val="000000"/>
                <w:sz w:val="22"/>
                <w:szCs w:val="22"/>
              </w:rPr>
              <w:t>Areflessia</w:t>
            </w:r>
            <w:proofErr w:type="spellEnd"/>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eastAsia="MS Mincho" w:hAnsi="Times New Roman" w:cs="Times New Roman"/>
                <w:color w:val="000000"/>
                <w:sz w:val="22"/>
                <w:szCs w:val="22"/>
              </w:rPr>
            </w:pPr>
            <w:r>
              <w:rPr>
                <w:rFonts w:ascii="Times New Roman" w:hAnsi="Times New Roman" w:cs="Times New Roman"/>
                <w:b/>
                <w:bCs/>
                <w:color w:val="000000"/>
                <w:sz w:val="22"/>
                <w:szCs w:val="22"/>
              </w:rPr>
              <w:t>Emisferi c</w:t>
            </w:r>
            <w:r w:rsidRPr="00010F69">
              <w:rPr>
                <w:rFonts w:ascii="Times New Roman" w:hAnsi="Times New Roman" w:cs="Times New Roman"/>
                <w:b/>
                <w:bCs/>
                <w:color w:val="000000"/>
                <w:sz w:val="22"/>
                <w:szCs w:val="22"/>
              </w:rPr>
              <w:t xml:space="preserve">erebrali </w:t>
            </w:r>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eastAsia="MS Mincho" w:hAnsi="Times New Roman" w:cs="Times New Roman"/>
                <w:color w:val="000000"/>
                <w:sz w:val="22"/>
                <w:szCs w:val="22"/>
              </w:rPr>
            </w:pPr>
            <w:r>
              <w:rPr>
                <w:rFonts w:ascii="Times New Roman" w:hAnsi="Times New Roman" w:cs="Times New Roman"/>
                <w:i/>
                <w:iCs/>
                <w:color w:val="000000"/>
                <w:sz w:val="22"/>
                <w:szCs w:val="22"/>
              </w:rPr>
              <w:t>Caratteristiche t</w:t>
            </w:r>
            <w:r w:rsidRPr="00010F69">
              <w:rPr>
                <w:rFonts w:ascii="Times New Roman" w:hAnsi="Times New Roman" w:cs="Times New Roman"/>
                <w:i/>
                <w:iCs/>
                <w:color w:val="000000"/>
                <w:sz w:val="22"/>
                <w:szCs w:val="22"/>
              </w:rPr>
              <w:t xml:space="preserve">ipiche </w:t>
            </w:r>
            <w:r w:rsidRPr="00010F69">
              <w:rPr>
                <w:rFonts w:ascii="MS Mincho" w:eastAsia="MS Mincho" w:hAnsi="MS Mincho" w:cs="MS Mincho"/>
                <w:color w:val="000000"/>
                <w:sz w:val="22"/>
                <w:szCs w:val="22"/>
              </w:rPr>
              <w:t> </w:t>
            </w:r>
            <w:r w:rsidRPr="00010F69">
              <w:rPr>
                <w:rFonts w:ascii="Times New Roman" w:eastAsia="MS Mincho" w:hAnsi="Times New Roman" w:cs="Times New Roman"/>
                <w:color w:val="000000"/>
                <w:sz w:val="22"/>
                <w:szCs w:val="22"/>
              </w:rPr>
              <w:br/>
            </w:r>
            <w:r w:rsidRPr="00010F69">
              <w:rPr>
                <w:rFonts w:ascii="Times New Roman" w:hAnsi="Times New Roman" w:cs="Times New Roman"/>
                <w:color w:val="000000"/>
                <w:sz w:val="22"/>
                <w:szCs w:val="22"/>
              </w:rPr>
              <w:t>• Emiparesi</w:t>
            </w:r>
            <w:r w:rsidRPr="00010F69">
              <w:rPr>
                <w:rFonts w:ascii="MS Mincho" w:eastAsia="MS Mincho" w:hAnsi="MS Mincho" w:cs="MS Mincho"/>
                <w:color w:val="000000"/>
                <w:sz w:val="22"/>
                <w:szCs w:val="22"/>
              </w:rPr>
              <w:t> </w:t>
            </w:r>
            <w:r w:rsidRPr="00010F69">
              <w:rPr>
                <w:rFonts w:ascii="Times New Roman" w:hAnsi="Times New Roman" w:cs="Times New Roman"/>
                <w:color w:val="000000"/>
                <w:sz w:val="22"/>
                <w:szCs w:val="22"/>
              </w:rPr>
              <w:t xml:space="preserve">• </w:t>
            </w:r>
            <w:proofErr w:type="spellStart"/>
            <w:r w:rsidRPr="00010F69">
              <w:rPr>
                <w:rFonts w:ascii="Times New Roman" w:hAnsi="Times New Roman" w:cs="Times New Roman"/>
                <w:color w:val="000000"/>
                <w:sz w:val="22"/>
                <w:szCs w:val="22"/>
              </w:rPr>
              <w:t>Emiparestesie</w:t>
            </w:r>
            <w:proofErr w:type="spellEnd"/>
            <w:r w:rsidRPr="00010F69">
              <w:rPr>
                <w:rFonts w:ascii="Times New Roman" w:hAnsi="Times New Roman" w:cs="Times New Roman"/>
                <w:color w:val="000000"/>
                <w:sz w:val="22"/>
                <w:szCs w:val="22"/>
              </w:rPr>
              <w:t xml:space="preserve"> </w:t>
            </w:r>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rPr>
                <w:rFonts w:ascii="Times New Roman" w:eastAsia="MS Mincho" w:hAnsi="Times New Roman" w:cs="Times New Roman"/>
                <w:color w:val="000000"/>
                <w:sz w:val="22"/>
                <w:szCs w:val="22"/>
              </w:rPr>
            </w:pPr>
            <w:r>
              <w:rPr>
                <w:rFonts w:ascii="Times New Roman" w:hAnsi="Times New Roman" w:cs="Times New Roman"/>
                <w:i/>
                <w:iCs/>
                <w:color w:val="000000"/>
                <w:sz w:val="22"/>
                <w:szCs w:val="22"/>
              </w:rPr>
              <w:t>Caratteristiche a</w:t>
            </w:r>
            <w:r w:rsidRPr="00010F69">
              <w:rPr>
                <w:rFonts w:ascii="Times New Roman" w:hAnsi="Times New Roman" w:cs="Times New Roman"/>
                <w:i/>
                <w:iCs/>
                <w:color w:val="000000"/>
                <w:sz w:val="22"/>
                <w:szCs w:val="22"/>
              </w:rPr>
              <w:t xml:space="preserve">tipiche </w:t>
            </w:r>
            <w:r w:rsidRPr="00010F69">
              <w:rPr>
                <w:rFonts w:ascii="MS Mincho" w:eastAsia="MS Mincho" w:hAnsi="MS Mincho" w:cs="MS Mincho"/>
                <w:color w:val="000000"/>
                <w:sz w:val="22"/>
                <w:szCs w:val="22"/>
              </w:rPr>
              <w:t> </w:t>
            </w:r>
            <w:r w:rsidRPr="00010F69">
              <w:rPr>
                <w:rFonts w:ascii="Times New Roman" w:eastAsia="MS Mincho" w:hAnsi="Times New Roman" w:cs="Times New Roman"/>
                <w:color w:val="000000"/>
                <w:sz w:val="22"/>
                <w:szCs w:val="22"/>
              </w:rPr>
              <w:br/>
            </w:r>
            <w:r w:rsidRPr="00010F69">
              <w:rPr>
                <w:rFonts w:ascii="Times New Roman" w:hAnsi="Times New Roman" w:cs="Times New Roman"/>
                <w:color w:val="000000"/>
                <w:sz w:val="22"/>
                <w:szCs w:val="22"/>
              </w:rPr>
              <w:t>• Encefalopatia • Epilessia</w:t>
            </w:r>
            <w:r w:rsidRPr="00010F69">
              <w:rPr>
                <w:rFonts w:ascii="MS Mincho" w:eastAsia="MS Mincho" w:hAnsi="MS Mincho" w:cs="MS Mincho"/>
                <w:color w:val="000000"/>
                <w:sz w:val="22"/>
                <w:szCs w:val="22"/>
              </w:rPr>
              <w:t> </w:t>
            </w:r>
            <w:r w:rsidRPr="00010F69">
              <w:rPr>
                <w:rFonts w:ascii="Times New Roman" w:hAnsi="Times New Roman" w:cs="Times New Roman"/>
                <w:color w:val="000000"/>
                <w:sz w:val="22"/>
                <w:szCs w:val="22"/>
              </w:rPr>
              <w:t xml:space="preserve">• Cecità corticale </w:t>
            </w:r>
            <w:r w:rsidRPr="00010F69">
              <w:rPr>
                <w:rFonts w:ascii="MS Mincho" w:eastAsia="MS Mincho" w:hAnsi="MS Mincho" w:cs="MS Mincho"/>
                <w:color w:val="000000"/>
                <w:sz w:val="22"/>
                <w:szCs w:val="22"/>
              </w:rPr>
              <w:t> </w:t>
            </w:r>
          </w:p>
        </w:tc>
      </w:tr>
      <w:tr w:rsidR="000B5210" w:rsidRPr="00010F69" w:rsidTr="001C4876">
        <w:tc>
          <w:tcPr>
            <w:tcW w:w="8003" w:type="dxa"/>
          </w:tcPr>
          <w:p w:rsidR="000B5210" w:rsidRPr="00010F69" w:rsidRDefault="000B5210" w:rsidP="001C4876">
            <w:pPr>
              <w:widowControl w:val="0"/>
              <w:tabs>
                <w:tab w:val="left" w:pos="220"/>
                <w:tab w:val="left" w:pos="720"/>
              </w:tabs>
              <w:autoSpaceDE w:val="0"/>
              <w:autoSpaceDN w:val="0"/>
              <w:adjustRightInd w:val="0"/>
              <w:spacing w:line="280" w:lineRule="atLeast"/>
              <w:jc w:val="both"/>
              <w:rPr>
                <w:rFonts w:ascii="Times New Roman" w:hAnsi="Times New Roman" w:cs="Times New Roman"/>
                <w:color w:val="000000"/>
              </w:rPr>
            </w:pPr>
            <w:r w:rsidRPr="00010F69">
              <w:rPr>
                <w:rFonts w:ascii="Times New Roman" w:hAnsi="Times New Roman" w:cs="Times New Roman"/>
                <w:color w:val="000000"/>
                <w:sz w:val="16"/>
                <w:szCs w:val="16"/>
              </w:rPr>
              <w:t>Il mancato recupero è una caratteristica atipica per tutte le CIS.</w:t>
            </w:r>
          </w:p>
        </w:tc>
      </w:tr>
    </w:tbl>
    <w:p w:rsidR="000B5210" w:rsidRPr="00010F69" w:rsidRDefault="000B5210" w:rsidP="000B5210">
      <w:pPr>
        <w:widowControl w:val="0"/>
        <w:autoSpaceDE w:val="0"/>
        <w:autoSpaceDN w:val="0"/>
        <w:adjustRightInd w:val="0"/>
        <w:spacing w:after="240" w:line="360" w:lineRule="auto"/>
        <w:ind w:left="1134" w:right="560"/>
        <w:jc w:val="both"/>
        <w:rPr>
          <w:rFonts w:ascii="Times New Roman" w:hAnsi="Times New Roman" w:cs="Times New Roman"/>
        </w:rPr>
      </w:pPr>
    </w:p>
    <w:p w:rsidR="000B5210" w:rsidRPr="00010F69" w:rsidRDefault="000B5210" w:rsidP="000B5210">
      <w:pPr>
        <w:widowControl w:val="0"/>
        <w:autoSpaceDE w:val="0"/>
        <w:autoSpaceDN w:val="0"/>
        <w:adjustRightInd w:val="0"/>
        <w:spacing w:after="240" w:line="360" w:lineRule="auto"/>
        <w:ind w:left="1134"/>
        <w:jc w:val="both"/>
        <w:rPr>
          <w:rFonts w:ascii="Times New Roman" w:hAnsi="Times New Roman" w:cs="Times New Roman"/>
        </w:rPr>
      </w:pPr>
      <w:r w:rsidRPr="00010F69">
        <w:rPr>
          <w:rFonts w:ascii="Times New Roman" w:hAnsi="Times New Roman" w:cs="Times New Roman"/>
        </w:rPr>
        <w:t>La conseguenza della demielinizzazione multifocale è l’eterogeneità dei sintomi e dei segni tipic</w:t>
      </w:r>
      <w:r>
        <w:rPr>
          <w:rFonts w:ascii="Times New Roman" w:hAnsi="Times New Roman" w:cs="Times New Roman"/>
        </w:rPr>
        <w:t>i</w:t>
      </w:r>
      <w:r w:rsidRPr="00010F69">
        <w:rPr>
          <w:rFonts w:ascii="Times New Roman" w:hAnsi="Times New Roman" w:cs="Times New Roman"/>
        </w:rPr>
        <w:t xml:space="preserve"> della SM: possono essere presenti sintomi e segni motori, sensitivi, cerebellari, deficit delle funzioni cognitive, deficit dei nervi cranici, disfunzioni intestinali, urinarie, sessuali, oltre a numerosi sintomi parossistici.</w:t>
      </w:r>
    </w:p>
    <w:p w:rsidR="000B5210" w:rsidRPr="00010F69" w:rsidRDefault="000B5210" w:rsidP="000B5210">
      <w:pPr>
        <w:widowControl w:val="0"/>
        <w:autoSpaceDE w:val="0"/>
        <w:autoSpaceDN w:val="0"/>
        <w:adjustRightInd w:val="0"/>
        <w:spacing w:after="240" w:line="360" w:lineRule="auto"/>
        <w:ind w:left="1134"/>
        <w:jc w:val="both"/>
        <w:rPr>
          <w:rFonts w:ascii="Times New Roman" w:hAnsi="Times New Roman" w:cs="Times New Roman"/>
        </w:rPr>
      </w:pPr>
      <w:r w:rsidRPr="00010F69">
        <w:rPr>
          <w:rFonts w:ascii="Times New Roman" w:hAnsi="Times New Roman" w:cs="Times New Roman"/>
        </w:rPr>
        <w:t xml:space="preserve">Negli anni 50 è stata stabilita la prima scala per valutare l’entità di tali deficit e la disabilità in corso di SM, la DSS, ideata da John </w:t>
      </w:r>
      <w:proofErr w:type="spellStart"/>
      <w:r w:rsidRPr="00010F69">
        <w:rPr>
          <w:rFonts w:ascii="Times New Roman" w:hAnsi="Times New Roman" w:cs="Times New Roman"/>
        </w:rPr>
        <w:t>Kur</w:t>
      </w:r>
      <w:r>
        <w:rPr>
          <w:rFonts w:ascii="Times New Roman" w:hAnsi="Times New Roman" w:cs="Times New Roman"/>
        </w:rPr>
        <w:t>t</w:t>
      </w:r>
      <w:r w:rsidRPr="00010F69">
        <w:rPr>
          <w:rFonts w:ascii="Times New Roman" w:hAnsi="Times New Roman" w:cs="Times New Roman"/>
        </w:rPr>
        <w:t>zke</w:t>
      </w:r>
      <w:proofErr w:type="spellEnd"/>
      <w:r w:rsidRPr="00010F69">
        <w:rPr>
          <w:rFonts w:ascii="Times New Roman" w:hAnsi="Times New Roman" w:cs="Times New Roman"/>
        </w:rPr>
        <w:t xml:space="preserve">. In seguito venne ampliata da </w:t>
      </w:r>
      <w:proofErr w:type="spellStart"/>
      <w:r w:rsidRPr="00010F69">
        <w:rPr>
          <w:rFonts w:ascii="Times New Roman" w:hAnsi="Times New Roman" w:cs="Times New Roman"/>
        </w:rPr>
        <w:t>Kur</w:t>
      </w:r>
      <w:r>
        <w:rPr>
          <w:rFonts w:ascii="Times New Roman" w:hAnsi="Times New Roman" w:cs="Times New Roman"/>
        </w:rPr>
        <w:t>t</w:t>
      </w:r>
      <w:r w:rsidRPr="00010F69">
        <w:rPr>
          <w:rFonts w:ascii="Times New Roman" w:hAnsi="Times New Roman" w:cs="Times New Roman"/>
        </w:rPr>
        <w:t>zke</w:t>
      </w:r>
      <w:proofErr w:type="spellEnd"/>
      <w:r w:rsidRPr="00010F69">
        <w:rPr>
          <w:rFonts w:ascii="Times New Roman" w:hAnsi="Times New Roman" w:cs="Times New Roman"/>
        </w:rPr>
        <w:t xml:space="preserve"> in quella che è la scala di di</w:t>
      </w:r>
      <w:r>
        <w:rPr>
          <w:rFonts w:ascii="Times New Roman" w:hAnsi="Times New Roman" w:cs="Times New Roman"/>
        </w:rPr>
        <w:t>sabilità tuttora utilizzata, l’</w:t>
      </w:r>
      <w:proofErr w:type="spellStart"/>
      <w:r>
        <w:rPr>
          <w:rFonts w:ascii="Times New Roman" w:hAnsi="Times New Roman" w:cs="Times New Roman"/>
        </w:rPr>
        <w:t>expanded</w:t>
      </w:r>
      <w:proofErr w:type="spellEnd"/>
      <w:r>
        <w:rPr>
          <w:rFonts w:ascii="Times New Roman" w:hAnsi="Times New Roman" w:cs="Times New Roman"/>
        </w:rPr>
        <w:t xml:space="preserve"> </w:t>
      </w:r>
      <w:proofErr w:type="spellStart"/>
      <w:r>
        <w:rPr>
          <w:rFonts w:ascii="Times New Roman" w:hAnsi="Times New Roman" w:cs="Times New Roman"/>
        </w:rPr>
        <w:t>disability</w:t>
      </w:r>
      <w:proofErr w:type="spellEnd"/>
      <w:r>
        <w:rPr>
          <w:rFonts w:ascii="Times New Roman" w:hAnsi="Times New Roman" w:cs="Times New Roman"/>
        </w:rPr>
        <w:t xml:space="preserve"> status s</w:t>
      </w:r>
      <w:r w:rsidRPr="00010F69">
        <w:rPr>
          <w:rFonts w:ascii="Times New Roman" w:hAnsi="Times New Roman" w:cs="Times New Roman"/>
        </w:rPr>
        <w:t>cale (EDSS).</w:t>
      </w:r>
      <w:r w:rsidRPr="006C2258">
        <w:rPr>
          <w:rStyle w:val="Apice1"/>
        </w:rPr>
        <w:fldChar w:fldCharType="begin" w:fldLock="1"/>
      </w:r>
      <w:r w:rsidRPr="006C2258">
        <w:rPr>
          <w:rStyle w:val="Apice1"/>
        </w:rPr>
        <w:instrText>ADDIN CSL_CITATION { "citationItems" : [ { "id" : "ITEM-1", "itemData" : { "DOI" : "10.1212/WNL.33.11.1444", "ISBN" : "0028-3878 (Print)", "ISSN" : "0028-3878", "PMID" : "6685237", "abstract" : "One method of evaluating the degree of neurologic impairment in MS has been the combination of grades (0 = normal to 5 or 6 = maximal impairment) within 8 Functional Systems (FS) and an overall Disability Status Scale (DSS) that had steps from 0 (normal) to 10 (death due to MS). A new Expanded Disability Status Scale (EDSS) is presented, with each of the former steps (1,2,3 . . . 9) now divided into two (1.0, 1.5, 2.0 . . . 9.5). The lower portion is obligatorily defined by Functional System grades. The FS are Pyramidal, Cerebellar, Brain Stem, Sensory, Bowel &amp; Bladder, Visual, Cerebral, and Other; the Sensory and Bowel &amp; Bladder Systems have been revised. Patterns of FS and relations of FS by type and grade to the DSS are demonstrated.", "author" : [ { "dropping-particle" : "", "family" : "Kurtzke", "given" : "J F", "non-dropping-particle" : "", "parse-names" : false, "suffix" : "" } ], "container-title" : "Neurology", "id" : "ITEM-1", "issue" : "11", "issued" : { "date-parts" : [ [ "1983" ] ] }, "page" : "1444-1452", "title" : "Rating neurologic impairment in multiple sclerosis: an expanded disability status scale (EDSS).", "type" : "article-journal", "volume" : "33" }, "uris" : [ "http://www.mendeley.com/documents/?uuid=befa7d90-faaa-46e6-8bfb-4b4ff1fd29bf" ] } ], "mendeley" : { "formattedCitation" : "&lt;sup&gt;61&lt;/sup&gt;", "plainTextFormattedCitation" : "61", "previouslyFormattedCitation" : "&lt;sup&gt;61&lt;/sup&gt;" }, "properties" : { "noteIndex" : 0 }, "schema" : "https://github.com/citation-style-language/schema/raw/master/csl-citation.json" }</w:instrText>
      </w:r>
      <w:r w:rsidRPr="006C2258">
        <w:rPr>
          <w:rStyle w:val="Apice1"/>
        </w:rPr>
        <w:fldChar w:fldCharType="separate"/>
      </w:r>
      <w:r w:rsidRPr="006C2258">
        <w:rPr>
          <w:rStyle w:val="Apice1"/>
          <w:noProof/>
        </w:rPr>
        <w:t>61</w:t>
      </w:r>
      <w:r w:rsidRPr="006C2258">
        <w:rPr>
          <w:rStyle w:val="Apice1"/>
        </w:rPr>
        <w:fldChar w:fldCharType="end"/>
      </w:r>
    </w:p>
    <w:p w:rsidR="000B5210" w:rsidRDefault="000B5210" w:rsidP="000B5210">
      <w:pPr>
        <w:pStyle w:val="Didascalia"/>
        <w:keepNext/>
        <w:ind w:left="1134"/>
        <w:jc w:val="both"/>
      </w:pPr>
      <w:r>
        <w:t xml:space="preserve">Tabella </w:t>
      </w:r>
      <w:r>
        <w:rPr>
          <w:noProof/>
        </w:rPr>
        <w:fldChar w:fldCharType="begin"/>
      </w:r>
      <w:r>
        <w:rPr>
          <w:noProof/>
        </w:rPr>
        <w:instrText xml:space="preserve"> SEQ Tabella \* ROMAN </w:instrText>
      </w:r>
      <w:r>
        <w:rPr>
          <w:noProof/>
        </w:rPr>
        <w:fldChar w:fldCharType="separate"/>
      </w:r>
      <w:r>
        <w:rPr>
          <w:noProof/>
        </w:rPr>
        <w:t>II</w:t>
      </w:r>
      <w:r>
        <w:rPr>
          <w:noProof/>
        </w:rPr>
        <w:fldChar w:fldCharType="end"/>
      </w:r>
      <w:r>
        <w:t xml:space="preserve">: Scala di valutazione della disabilità di </w:t>
      </w:r>
      <w:proofErr w:type="spellStart"/>
      <w:r>
        <w:t>Kurtzke</w:t>
      </w:r>
      <w:proofErr w:type="spellEnd"/>
      <w:r>
        <w:t xml:space="preserve"> EDSS</w:t>
      </w:r>
      <w:r>
        <w:fldChar w:fldCharType="begin" w:fldLock="1"/>
      </w:r>
      <w:r>
        <w:instrText>ADDIN CSL_CITATION { "citationItems" : [ { "id" : "ITEM-1", "itemData" : { "DOI" : "10.1212/WNL.33.11.1444", "ISBN" : "0028-3878 (Print)", "ISSN" : "0028-3878", "PMID" : "6685237", "abstract" : "One method of evaluating the degree of neurologic impairment in MS has been the combination of grades (0 = normal to 5 or 6 = maximal impairment) within 8 Functional Systems (FS) and an overall Disability Status Scale (DSS) that had steps from 0 (normal) to 10 (death due to MS). A new Expanded Disability Status Scale (EDSS) is presented, with each of the former steps (1,2,3 . . . 9) now divided into two (1.0, 1.5, 2.0 . . . 9.5). The lower portion is obligatorily defined by Functional System grades. The FS are Pyramidal, Cerebellar, Brain Stem, Sensory, Bowel &amp; Bladder, Visual, Cerebral, and Other; the Sensory and Bowel &amp; Bladder Systems have been revised. Patterns of FS and relations of FS by type and grade to the DSS are demonstrated.", "author" : [ { "dropping-particle" : "", "family" : "Kurtzke", "given" : "J F", "non-dropping-particle" : "", "parse-names" : false, "suffix" : "" } ], "container-title" : "Neurology", "id" : "ITEM-1", "issue" : "11", "issued" : { "date-parts" : [ [ "1983" ] ] }, "page" : "1444-1452", "title" : "Rating neurologic impairment in multiple sclerosis: an expanded disability status scale (EDSS).", "type" : "article-journal", "volume" : "33" }, "uris" : [ "http://www.mendeley.com/documents/?uuid=befa7d90-faaa-46e6-8bfb-4b4ff1fd29bf" ] } ], "mendeley" : { "formattedCitation" : "&lt;sup&gt;61&lt;/sup&gt;", "plainTextFormattedCitation" : "61", "previouslyFormattedCitation" : "&lt;sup&gt;61&lt;/sup&gt;" }, "properties" : { "noteIndex" : 0 }, "schema" : "https://github.com/citation-style-language/schema/raw/master/csl-citation.json" }</w:instrText>
      </w:r>
      <w:r>
        <w:fldChar w:fldCharType="separate"/>
      </w:r>
      <w:r w:rsidRPr="00346627">
        <w:rPr>
          <w:noProof/>
          <w:vertAlign w:val="superscript"/>
        </w:rPr>
        <w:t>61</w:t>
      </w:r>
      <w:r>
        <w:fldChar w:fldCharType="end"/>
      </w:r>
    </w:p>
    <w:tbl>
      <w:tblPr>
        <w:tblStyle w:val="Grigliatabella"/>
        <w:tblW w:w="0" w:type="auto"/>
        <w:tblInd w:w="1197" w:type="dxa"/>
        <w:tblLook w:val="04A0" w:firstRow="1" w:lastRow="0" w:firstColumn="1" w:lastColumn="0" w:noHBand="0" w:noVBand="1"/>
      </w:tblPr>
      <w:tblGrid>
        <w:gridCol w:w="7981"/>
      </w:tblGrid>
      <w:tr w:rsidR="000B5210" w:rsidRPr="00010F69" w:rsidTr="001C4876">
        <w:tc>
          <w:tcPr>
            <w:tcW w:w="7981" w:type="dxa"/>
          </w:tcPr>
          <w:p w:rsidR="000B5210" w:rsidRPr="00010F69" w:rsidRDefault="000B5210" w:rsidP="001C4876">
            <w:pPr>
              <w:pStyle w:val="NormaleWeb"/>
              <w:jc w:val="both"/>
              <w:rPr>
                <w:rFonts w:ascii="Times New Roman" w:hAnsi="Times New Roman"/>
                <w:b/>
                <w:sz w:val="22"/>
                <w:szCs w:val="22"/>
              </w:rPr>
            </w:pPr>
            <w:r w:rsidRPr="00010F69">
              <w:rPr>
                <w:rFonts w:ascii="Times New Roman" w:hAnsi="Times New Roman"/>
                <w:b/>
                <w:sz w:val="22"/>
                <w:szCs w:val="22"/>
              </w:rPr>
              <w:t xml:space="preserve">Tabella EDSS </w:t>
            </w:r>
            <w:proofErr w:type="spellStart"/>
            <w:r w:rsidRPr="00010F69">
              <w:rPr>
                <w:rFonts w:ascii="Times New Roman" w:hAnsi="Times New Roman"/>
                <w:b/>
                <w:sz w:val="22"/>
                <w:szCs w:val="22"/>
              </w:rPr>
              <w:t>Kurtzke</w:t>
            </w:r>
            <w:proofErr w:type="spellEnd"/>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0.0 – Esame neurologico </w:t>
            </w:r>
            <w:r>
              <w:rPr>
                <w:rFonts w:ascii="Times New Roman" w:hAnsi="Times New Roman"/>
                <w:sz w:val="22"/>
                <w:szCs w:val="22"/>
              </w:rPr>
              <w:t>n</w:t>
            </w:r>
            <w:r w:rsidRPr="00010F69">
              <w:rPr>
                <w:rFonts w:ascii="Times New Roman" w:hAnsi="Times New Roman"/>
                <w:sz w:val="22"/>
                <w:szCs w:val="22"/>
              </w:rPr>
              <w:t xml:space="preserve">ormale (grado 0 in tutti gli FS)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1.0 – Non disabilità, minimi segni ad un FS (ad es. grado 1)</w:t>
            </w:r>
          </w:p>
        </w:tc>
      </w:tr>
      <w:tr w:rsidR="000B5210" w:rsidRPr="00010F69" w:rsidTr="001C4876">
        <w:tc>
          <w:tcPr>
            <w:tcW w:w="7981" w:type="dxa"/>
          </w:tcPr>
          <w:p w:rsidR="000B5210" w:rsidRPr="00010F69" w:rsidRDefault="000B5210" w:rsidP="001C4876">
            <w:pPr>
              <w:pStyle w:val="NormaleWeb"/>
              <w:jc w:val="both"/>
              <w:rPr>
                <w:rFonts w:ascii="Times New Roman" w:eastAsia="MS Mincho" w:hAnsi="Times New Roman"/>
                <w:sz w:val="22"/>
                <w:szCs w:val="22"/>
              </w:rPr>
            </w:pPr>
            <w:r w:rsidRPr="00010F69">
              <w:rPr>
                <w:rFonts w:ascii="Times New Roman" w:hAnsi="Times New Roman"/>
                <w:sz w:val="22"/>
                <w:szCs w:val="22"/>
              </w:rPr>
              <w:t xml:space="preserve">1.5 – Non disabilità, minimi segni in più di un FS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2.0 – Minima disabilità in un FS (ad es. un FS 2 gli altri 0 o 1)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2.5 – Minima disabilità in 2 FS</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3.0 – Moderata disabilità in un FS (ad es. un FS 3, gli altri 0 o 1) oppure minima disabilità in 3 o 4 FS (grado 2, gli altri 0 o 1). Comunque pienamente deambulante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lastRenderedPageBreak/>
              <w:t>3.5 – Pienamente deambulante ma con moderata disabilità in un FS a grado 3 e uno o due FS a grado 2; oppure 2 FS grado 3 e 5 FS a grado 2</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4.0 – Pienamente deambulante senza aiuti e autosufficiente; un FS a grado 4 o combinazione di altri gradi che superano gli </w:t>
            </w:r>
            <w:proofErr w:type="spellStart"/>
            <w:r w:rsidRPr="00010F69">
              <w:rPr>
                <w:rFonts w:ascii="Times New Roman" w:hAnsi="Times New Roman"/>
                <w:sz w:val="22"/>
                <w:szCs w:val="22"/>
              </w:rPr>
              <w:t>step</w:t>
            </w:r>
            <w:proofErr w:type="spellEnd"/>
            <w:r w:rsidRPr="00010F69">
              <w:rPr>
                <w:rFonts w:ascii="Times New Roman" w:hAnsi="Times New Roman"/>
                <w:sz w:val="22"/>
                <w:szCs w:val="22"/>
              </w:rPr>
              <w:t xml:space="preserve"> precedenti. Cammina senza aiuto per più di 500m.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4.5 – Pienamente deambulante senza aiuto, lavora l’intera giornata con assistenza occasionale; un FS a grado 4 o combinazione di altri gradi che superano gli </w:t>
            </w:r>
            <w:proofErr w:type="spellStart"/>
            <w:r w:rsidRPr="00010F69">
              <w:rPr>
                <w:rFonts w:ascii="Times New Roman" w:hAnsi="Times New Roman"/>
                <w:sz w:val="22"/>
                <w:szCs w:val="22"/>
              </w:rPr>
              <w:t>step</w:t>
            </w:r>
            <w:proofErr w:type="spellEnd"/>
            <w:r w:rsidRPr="00010F69">
              <w:rPr>
                <w:rFonts w:ascii="Times New Roman" w:hAnsi="Times New Roman"/>
                <w:sz w:val="22"/>
                <w:szCs w:val="22"/>
              </w:rPr>
              <w:t xml:space="preserve"> precedenti. Cammina senza aiuto per 300m.</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5.0 – Deambulante senza aiuto per almeno 200m; disabilità severa che impedisce attività giornaliere (ad es. lavorare l’intera giornata senza speciali accorgimenti); FS solitamente so</w:t>
            </w:r>
            <w:r>
              <w:rPr>
                <w:rFonts w:ascii="Times New Roman" w:hAnsi="Times New Roman"/>
                <w:sz w:val="22"/>
                <w:szCs w:val="22"/>
              </w:rPr>
              <w:t>l</w:t>
            </w:r>
            <w:r w:rsidRPr="00010F69">
              <w:rPr>
                <w:rFonts w:ascii="Times New Roman" w:hAnsi="Times New Roman"/>
                <w:sz w:val="22"/>
                <w:szCs w:val="22"/>
              </w:rPr>
              <w:t xml:space="preserve">o un grado 5 isolato o una combinazione che eccede i precedenti </w:t>
            </w:r>
            <w:proofErr w:type="spellStart"/>
            <w:r w:rsidRPr="00010F69">
              <w:rPr>
                <w:rFonts w:ascii="Times New Roman" w:hAnsi="Times New Roman"/>
                <w:sz w:val="22"/>
                <w:szCs w:val="22"/>
              </w:rPr>
              <w:t>step</w:t>
            </w:r>
            <w:proofErr w:type="spellEnd"/>
            <w:r w:rsidRPr="00010F69">
              <w:rPr>
                <w:rFonts w:ascii="Times New Roman" w:hAnsi="Times New Roman"/>
                <w:sz w:val="22"/>
                <w:szCs w:val="22"/>
              </w:rPr>
              <w:t xml:space="preserve">.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5.5 – Deambulante senza aiuto per circa 100 metri; disabilità severa che preclude attività a tempo pieno; FS: un grado 5 isolato o che eccede i precedenti </w:t>
            </w:r>
            <w:proofErr w:type="spellStart"/>
            <w:r w:rsidRPr="00010F69">
              <w:rPr>
                <w:rFonts w:ascii="Times New Roman" w:hAnsi="Times New Roman"/>
                <w:sz w:val="22"/>
                <w:szCs w:val="22"/>
              </w:rPr>
              <w:t>step</w:t>
            </w:r>
            <w:proofErr w:type="spellEnd"/>
            <w:r w:rsidRPr="00010F69">
              <w:rPr>
                <w:rFonts w:ascii="Times New Roman" w:hAnsi="Times New Roman"/>
                <w:sz w:val="22"/>
                <w:szCs w:val="22"/>
              </w:rPr>
              <w:t xml:space="preserve">.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6.0 – Assistenza alla deambulazione intermittente o costante e unilaterale per percorrere 100 metri senza riposo. Combinazione di almeno 2 FS a grado 3.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6.5 – Assistenza alla deambulazione costante e bilaterale per percorrere almeno 20 metri senza riposo. Combinazione di almeno 2 FS a grado 3.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7.0 – Incapace di camminare oltre 5 metri anche con aiuto. Autonomo se in sedia a rotelle. Solitamente vi sta circa 12h/die. Combinazione di almeno 2 FS a grado 4; raramente grado 5 piramidale isolato.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7.5 – Incapace di fare più di pochi passi; costretto alla sedia a rotelle; può necessitare di aiuto nei trasporti e non riesce ad essere autonomo per l’intera giornata. Combinazione di almeno 2 FS a grado 4.</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8.0 – Costretto a letto o sedia. Può stare fuori dal letto buona parte della giornata (in sedia a rotelle). Mantiene igiene personale e buon uso delle braccia. Solitamente combinazione di diversi FS a grado 4.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8.5 – Costretto a letto buon</w:t>
            </w:r>
            <w:r>
              <w:rPr>
                <w:rFonts w:ascii="Times New Roman" w:hAnsi="Times New Roman"/>
                <w:sz w:val="22"/>
                <w:szCs w:val="22"/>
              </w:rPr>
              <w:t>a parte della giornata. Mantiene</w:t>
            </w:r>
            <w:r w:rsidRPr="00010F69">
              <w:rPr>
                <w:rFonts w:ascii="Times New Roman" w:hAnsi="Times New Roman"/>
                <w:sz w:val="22"/>
                <w:szCs w:val="22"/>
              </w:rPr>
              <w:t xml:space="preserve"> parte di igiene personale e moderato uso delle braccia. Solitamente combinazione di diversi FS a grado 4.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9.0 – Paziente a letto, può comunicare e mangiare. Combinazione di molti FS a grado 4.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9.5 – Paziente a letto, incapace di comunicare o ingoiare. Combinazione di molti FS a grado 4. </w:t>
            </w:r>
          </w:p>
        </w:tc>
      </w:tr>
      <w:tr w:rsidR="000B5210" w:rsidRPr="00010F69" w:rsidTr="001C4876">
        <w:tc>
          <w:tcPr>
            <w:tcW w:w="7981" w:type="dxa"/>
          </w:tcPr>
          <w:p w:rsidR="000B5210" w:rsidRPr="00010F69" w:rsidRDefault="000B5210" w:rsidP="001C4876">
            <w:pPr>
              <w:pStyle w:val="NormaleWeb"/>
              <w:jc w:val="both"/>
              <w:rPr>
                <w:rFonts w:ascii="Times New Roman" w:hAnsi="Times New Roman"/>
                <w:sz w:val="22"/>
                <w:szCs w:val="22"/>
              </w:rPr>
            </w:pPr>
            <w:r w:rsidRPr="00010F69">
              <w:rPr>
                <w:rFonts w:ascii="Times New Roman" w:hAnsi="Times New Roman"/>
                <w:sz w:val="22"/>
                <w:szCs w:val="22"/>
              </w:rPr>
              <w:t xml:space="preserve">10.0 – Morte a causa di </w:t>
            </w:r>
            <w:r>
              <w:rPr>
                <w:rFonts w:ascii="Times New Roman" w:hAnsi="Times New Roman"/>
                <w:sz w:val="22"/>
                <w:szCs w:val="22"/>
              </w:rPr>
              <w:t>s</w:t>
            </w:r>
            <w:r w:rsidRPr="00010F69">
              <w:rPr>
                <w:rFonts w:ascii="Times New Roman" w:hAnsi="Times New Roman"/>
                <w:sz w:val="22"/>
                <w:szCs w:val="22"/>
              </w:rPr>
              <w:t xml:space="preserve">clerosi </w:t>
            </w:r>
            <w:r>
              <w:rPr>
                <w:rFonts w:ascii="Times New Roman" w:hAnsi="Times New Roman"/>
                <w:sz w:val="22"/>
                <w:szCs w:val="22"/>
              </w:rPr>
              <w:t>m</w:t>
            </w:r>
            <w:r w:rsidRPr="00010F69">
              <w:rPr>
                <w:rFonts w:ascii="Times New Roman" w:hAnsi="Times New Roman"/>
                <w:sz w:val="22"/>
                <w:szCs w:val="22"/>
              </w:rPr>
              <w:t xml:space="preserve">ultipla </w:t>
            </w:r>
          </w:p>
        </w:tc>
      </w:tr>
    </w:tbl>
    <w:p w:rsidR="000B5210" w:rsidRPr="00010F69" w:rsidRDefault="000B5210" w:rsidP="000B5210">
      <w:pPr>
        <w:widowControl w:val="0"/>
        <w:autoSpaceDE w:val="0"/>
        <w:autoSpaceDN w:val="0"/>
        <w:adjustRightInd w:val="0"/>
        <w:spacing w:after="240" w:line="360" w:lineRule="auto"/>
        <w:ind w:left="1134" w:right="560"/>
        <w:jc w:val="both"/>
        <w:rPr>
          <w:rFonts w:ascii="Times New Roman" w:hAnsi="Times New Roman" w:cs="Times New Roman"/>
        </w:rPr>
      </w:pPr>
    </w:p>
    <w:p w:rsidR="000B5210" w:rsidRPr="00010F69" w:rsidRDefault="000B5210" w:rsidP="000B5210">
      <w:pPr>
        <w:widowControl w:val="0"/>
        <w:autoSpaceDE w:val="0"/>
        <w:autoSpaceDN w:val="0"/>
        <w:adjustRightInd w:val="0"/>
        <w:spacing w:after="240" w:line="360" w:lineRule="auto"/>
        <w:ind w:left="1134" w:right="142"/>
        <w:jc w:val="both"/>
        <w:rPr>
          <w:rFonts w:ascii="Times New Roman" w:hAnsi="Times New Roman" w:cs="Times New Roman"/>
        </w:rPr>
      </w:pPr>
      <w:r w:rsidRPr="00010F69">
        <w:rPr>
          <w:rFonts w:ascii="Times New Roman" w:hAnsi="Times New Roman" w:cs="Times New Roman"/>
        </w:rPr>
        <w:t xml:space="preserve">La scala permette di descrivere disabilità e la presentazione clinica proteiforme della patologia. Si articola in gruppi funzionali (detti FS, </w:t>
      </w:r>
      <w:r>
        <w:rPr>
          <w:rFonts w:ascii="Times New Roman" w:hAnsi="Times New Roman" w:cs="Times New Roman"/>
        </w:rPr>
        <w:t>sistemi funzionali</w:t>
      </w:r>
      <w:r w:rsidRPr="00010F69">
        <w:rPr>
          <w:rFonts w:ascii="Times New Roman" w:hAnsi="Times New Roman" w:cs="Times New Roman"/>
        </w:rPr>
        <w:t xml:space="preserve">) che sono stati descritti come mutualmente esclusivi </w:t>
      </w:r>
      <w:proofErr w:type="spellStart"/>
      <w:r w:rsidRPr="00010F69">
        <w:rPr>
          <w:rFonts w:ascii="Times New Roman" w:hAnsi="Times New Roman" w:cs="Times New Roman"/>
        </w:rPr>
        <w:t>neuroanatomicamente</w:t>
      </w:r>
      <w:proofErr w:type="spellEnd"/>
      <w:r w:rsidRPr="00010F69">
        <w:rPr>
          <w:rFonts w:ascii="Times New Roman" w:hAnsi="Times New Roman" w:cs="Times New Roman"/>
        </w:rPr>
        <w:t xml:space="preserve">, ma che possono globalmente descrivere con precisione la totalità delle anomalie </w:t>
      </w:r>
      <w:r>
        <w:rPr>
          <w:rFonts w:ascii="Times New Roman" w:hAnsi="Times New Roman" w:cs="Times New Roman"/>
        </w:rPr>
        <w:t>neurologiche che ad un esame ob</w:t>
      </w:r>
      <w:r w:rsidRPr="00010F69">
        <w:rPr>
          <w:rFonts w:ascii="Times New Roman" w:hAnsi="Times New Roman" w:cs="Times New Roman"/>
        </w:rPr>
        <w:t>iettivo possono essere attribuite alla sclerosi multipla. Gli FS non sono additivi e ciascuno può essere paragonato in follow-up con il singolo parametro stesso</w:t>
      </w:r>
      <w:r>
        <w:rPr>
          <w:rFonts w:ascii="Times New Roman" w:hAnsi="Times New Roman" w:cs="Times New Roman"/>
        </w:rPr>
        <w:t>, ed insieme</w:t>
      </w:r>
      <w:r w:rsidRPr="00010F69">
        <w:rPr>
          <w:rFonts w:ascii="Times New Roman" w:hAnsi="Times New Roman" w:cs="Times New Roman"/>
        </w:rPr>
        <w:t xml:space="preserve"> vanno a definire l’EDSS.</w:t>
      </w:r>
    </w:p>
    <w:p w:rsidR="000B5210" w:rsidRPr="00010F69" w:rsidRDefault="000B5210" w:rsidP="000B5210">
      <w:pPr>
        <w:widowControl w:val="0"/>
        <w:autoSpaceDE w:val="0"/>
        <w:autoSpaceDN w:val="0"/>
        <w:adjustRightInd w:val="0"/>
        <w:spacing w:after="240" w:line="360" w:lineRule="auto"/>
        <w:ind w:left="1134" w:right="142"/>
        <w:jc w:val="both"/>
        <w:rPr>
          <w:rFonts w:ascii="Times New Roman" w:hAnsi="Times New Roman" w:cs="Times New Roman"/>
        </w:rPr>
      </w:pPr>
      <w:r w:rsidRPr="00010F69">
        <w:rPr>
          <w:rFonts w:ascii="Times New Roman" w:hAnsi="Times New Roman" w:cs="Times New Roman"/>
        </w:rPr>
        <w:t xml:space="preserve">È importante infine sottolineare come la SM </w:t>
      </w:r>
      <w:r>
        <w:rPr>
          <w:rFonts w:ascii="Times New Roman" w:hAnsi="Times New Roman" w:cs="Times New Roman"/>
        </w:rPr>
        <w:t>possa</w:t>
      </w:r>
      <w:r w:rsidRPr="00010F69">
        <w:rPr>
          <w:rFonts w:ascii="Times New Roman" w:hAnsi="Times New Roman" w:cs="Times New Roman"/>
        </w:rPr>
        <w:t xml:space="preserve"> manifestarsi non solo con segni e sintomi neurologici, ma anche con deficit cognitivi e con disturbi psichiatrici.</w:t>
      </w:r>
    </w:p>
    <w:p w:rsidR="001C6C1F" w:rsidRDefault="001C6C1F"/>
    <w:sectPr w:rsidR="001C6C1F" w:rsidSect="00D175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0"/>
    <w:rsid w:val="000B5210"/>
    <w:rsid w:val="001C6C1F"/>
    <w:rsid w:val="00D17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6032B8E"/>
  <w15:chartTrackingRefBased/>
  <w15:docId w15:val="{64841662-F270-A34E-BEF7-DB69B70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5210"/>
    <w:rPr>
      <w:rFonts w:eastAsiaTheme="minorEastAsia"/>
      <w:lang w:eastAsia="it-IT"/>
    </w:rPr>
  </w:style>
  <w:style w:type="paragraph" w:styleId="Titolo2">
    <w:name w:val="heading 2"/>
    <w:basedOn w:val="Normale"/>
    <w:next w:val="Normale"/>
    <w:link w:val="Titolo2Carattere"/>
    <w:uiPriority w:val="9"/>
    <w:semiHidden/>
    <w:unhideWhenUsed/>
    <w:qFormat/>
    <w:rsid w:val="000B52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5210"/>
    <w:pPr>
      <w:spacing w:before="100" w:beforeAutospacing="1" w:after="100" w:afterAutospacing="1"/>
    </w:pPr>
    <w:rPr>
      <w:rFonts w:ascii="Times" w:hAnsi="Times" w:cs="Times New Roman"/>
      <w:sz w:val="20"/>
      <w:szCs w:val="20"/>
    </w:rPr>
  </w:style>
  <w:style w:type="table" w:styleId="Grigliatabella">
    <w:name w:val="Table Grid"/>
    <w:basedOn w:val="Tabellanormale"/>
    <w:uiPriority w:val="39"/>
    <w:rsid w:val="000B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0B5210"/>
    <w:pPr>
      <w:spacing w:after="200"/>
    </w:pPr>
    <w:rPr>
      <w:rFonts w:ascii="Times New Roman" w:hAnsi="Times New Roman"/>
      <w:iCs/>
      <w:color w:val="000000" w:themeColor="text1"/>
      <w:sz w:val="20"/>
      <w:szCs w:val="18"/>
    </w:rPr>
  </w:style>
  <w:style w:type="paragraph" w:customStyle="1" w:styleId="TitoloTesi2">
    <w:name w:val="Titolo Tesi 2"/>
    <w:basedOn w:val="Titolo2"/>
    <w:autoRedefine/>
    <w:qFormat/>
    <w:rsid w:val="000B5210"/>
    <w:pPr>
      <w:ind w:left="1134"/>
    </w:pPr>
    <w:rPr>
      <w:rFonts w:ascii="Times New Roman" w:hAnsi="Times New Roman" w:cs="Times New Roman"/>
      <w:b/>
      <w:color w:val="000000" w:themeColor="text1"/>
    </w:rPr>
  </w:style>
  <w:style w:type="character" w:customStyle="1" w:styleId="Apice1">
    <w:name w:val="Apice1"/>
    <w:basedOn w:val="Carpredefinitoparagrafo"/>
    <w:uiPriority w:val="1"/>
    <w:qFormat/>
    <w:rsid w:val="000B5210"/>
    <w:rPr>
      <w:rFonts w:ascii="Times New Roman" w:hAnsi="Times New Roman" w:cs="Times New Roman"/>
      <w:position w:val="2"/>
      <w:vertAlign w:val="superscript"/>
    </w:rPr>
  </w:style>
  <w:style w:type="character" w:customStyle="1" w:styleId="Titolo2Carattere">
    <w:name w:val="Titolo 2 Carattere"/>
    <w:basedOn w:val="Carpredefinitoparagrafo"/>
    <w:link w:val="Titolo2"/>
    <w:uiPriority w:val="9"/>
    <w:semiHidden/>
    <w:rsid w:val="000B5210"/>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6715</Words>
  <Characters>38277</Characters>
  <Application>Microsoft Office Word</Application>
  <DocSecurity>0</DocSecurity>
  <Lines>318</Lines>
  <Paragraphs>89</Paragraphs>
  <ScaleCrop>false</ScaleCrop>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Calabrese</dc:creator>
  <cp:keywords/>
  <dc:description/>
  <cp:lastModifiedBy>Massimiliano Calabrese</cp:lastModifiedBy>
  <cp:revision>1</cp:revision>
  <dcterms:created xsi:type="dcterms:W3CDTF">2018-08-21T14:50:00Z</dcterms:created>
  <dcterms:modified xsi:type="dcterms:W3CDTF">2018-08-21T14:50:00Z</dcterms:modified>
</cp:coreProperties>
</file>