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D01" w:rsidRDefault="00BD0D01" w:rsidP="00BD0D01">
      <w:pPr>
        <w:pStyle w:val="TitoloTesi2"/>
      </w:pPr>
      <w:bookmarkStart w:id="0" w:name="_Toc486517423"/>
      <w:r w:rsidRPr="00010F69">
        <w:t>DIAGNOSI DI SCLEROSI MULTIPLA</w:t>
      </w:r>
      <w:bookmarkEnd w:id="0"/>
      <w:r w:rsidRPr="00010F69">
        <w:t xml:space="preserve"> </w:t>
      </w:r>
    </w:p>
    <w:p w:rsidR="00BD0D01" w:rsidRPr="00010F69" w:rsidRDefault="00BD0D01" w:rsidP="00BD0D01">
      <w:pPr>
        <w:pStyle w:val="TitoloTesi2"/>
      </w:pPr>
    </w:p>
    <w:p w:rsidR="00BD0D01" w:rsidRPr="00010F69" w:rsidRDefault="00BD0D01" w:rsidP="00BD0D01">
      <w:pPr>
        <w:widowControl w:val="0"/>
        <w:autoSpaceDE w:val="0"/>
        <w:autoSpaceDN w:val="0"/>
        <w:adjustRightInd w:val="0"/>
        <w:spacing w:after="240" w:line="360" w:lineRule="auto"/>
        <w:ind w:left="1134" w:right="142"/>
        <w:jc w:val="both"/>
        <w:rPr>
          <w:rFonts w:ascii="Times New Roman" w:hAnsi="Times New Roman" w:cs="Times New Roman"/>
        </w:rPr>
      </w:pPr>
      <w:r w:rsidRPr="00010F69">
        <w:rPr>
          <w:rFonts w:ascii="Times New Roman" w:hAnsi="Times New Roman" w:cs="Times New Roman"/>
        </w:rPr>
        <w:t xml:space="preserve">L’obiettivo </w:t>
      </w:r>
      <w:r>
        <w:rPr>
          <w:rFonts w:ascii="Times New Roman" w:hAnsi="Times New Roman" w:cs="Times New Roman"/>
        </w:rPr>
        <w:t>diagnostico</w:t>
      </w:r>
      <w:r w:rsidRPr="00010F69">
        <w:rPr>
          <w:rFonts w:ascii="Times New Roman" w:hAnsi="Times New Roman" w:cs="Times New Roman"/>
        </w:rPr>
        <w:t xml:space="preserve"> è di evidenziare la presenza di una patologia infiammatoria, multifocale e cronica del SNC</w:t>
      </w:r>
      <w:r>
        <w:rPr>
          <w:rFonts w:ascii="Times New Roman" w:hAnsi="Times New Roman" w:cs="Times New Roman"/>
        </w:rPr>
        <w:t xml:space="preserve"> che sia rappresentata indiscutibilmente da SM</w:t>
      </w:r>
      <w:r w:rsidRPr="00010F69">
        <w:rPr>
          <w:rFonts w:ascii="Times New Roman" w:hAnsi="Times New Roman" w:cs="Times New Roman"/>
        </w:rPr>
        <w:t>. Secondo i criteri diagnostici in uso diventa necessario dimostrare:</w:t>
      </w:r>
    </w:p>
    <w:p w:rsidR="00BD0D01" w:rsidRPr="00010F69" w:rsidRDefault="00BD0D01" w:rsidP="00BD0D01">
      <w:pPr>
        <w:widowControl w:val="0"/>
        <w:numPr>
          <w:ilvl w:val="0"/>
          <w:numId w:val="1"/>
        </w:numPr>
        <w:autoSpaceDE w:val="0"/>
        <w:autoSpaceDN w:val="0"/>
        <w:adjustRightInd w:val="0"/>
        <w:spacing w:after="240" w:line="360" w:lineRule="auto"/>
        <w:ind w:left="1134" w:right="142" w:firstLine="0"/>
        <w:jc w:val="both"/>
        <w:rPr>
          <w:rFonts w:ascii="Times New Roman" w:hAnsi="Times New Roman" w:cs="Times New Roman"/>
        </w:rPr>
      </w:pPr>
      <w:r w:rsidRPr="00010F69">
        <w:rPr>
          <w:rFonts w:ascii="Times New Roman" w:hAnsi="Times New Roman" w:cs="Times New Roman"/>
        </w:rPr>
        <w:t xml:space="preserve">la </w:t>
      </w:r>
      <w:r w:rsidRPr="00010F69">
        <w:rPr>
          <w:rFonts w:ascii="Times New Roman" w:hAnsi="Times New Roman" w:cs="Times New Roman"/>
          <w:b/>
        </w:rPr>
        <w:t>“disseminazione spaziale</w:t>
      </w:r>
      <w:r w:rsidRPr="00010F69">
        <w:rPr>
          <w:rFonts w:ascii="Times New Roman" w:hAnsi="Times New Roman" w:cs="Times New Roman"/>
        </w:rPr>
        <w:t xml:space="preserve">” delle lesioni </w:t>
      </w:r>
    </w:p>
    <w:p w:rsidR="00BD0D01" w:rsidRPr="00010F69" w:rsidRDefault="00BD0D01" w:rsidP="00BD0D01">
      <w:pPr>
        <w:widowControl w:val="0"/>
        <w:numPr>
          <w:ilvl w:val="0"/>
          <w:numId w:val="1"/>
        </w:numPr>
        <w:autoSpaceDE w:val="0"/>
        <w:autoSpaceDN w:val="0"/>
        <w:adjustRightInd w:val="0"/>
        <w:spacing w:after="240" w:line="360" w:lineRule="auto"/>
        <w:ind w:left="1134" w:right="142" w:firstLine="0"/>
        <w:jc w:val="both"/>
        <w:rPr>
          <w:rFonts w:ascii="Times New Roman" w:hAnsi="Times New Roman" w:cs="Times New Roman"/>
        </w:rPr>
      </w:pPr>
      <w:r w:rsidRPr="00010F69">
        <w:rPr>
          <w:rFonts w:ascii="Times New Roman" w:hAnsi="Times New Roman" w:cs="Times New Roman"/>
        </w:rPr>
        <w:t xml:space="preserve">la </w:t>
      </w:r>
      <w:r w:rsidRPr="00010F69">
        <w:rPr>
          <w:rFonts w:ascii="Times New Roman" w:hAnsi="Times New Roman" w:cs="Times New Roman"/>
          <w:b/>
        </w:rPr>
        <w:t>“disseminazione temporale”</w:t>
      </w:r>
      <w:r w:rsidRPr="00010F69">
        <w:rPr>
          <w:rFonts w:ascii="Times New Roman" w:hAnsi="Times New Roman" w:cs="Times New Roman"/>
        </w:rPr>
        <w:t xml:space="preserve"> delle lesioni</w:t>
      </w:r>
    </w:p>
    <w:p w:rsidR="00BD0D01" w:rsidRPr="00010F69" w:rsidRDefault="00BD0D01" w:rsidP="00BD0D01">
      <w:pPr>
        <w:widowControl w:val="0"/>
        <w:numPr>
          <w:ilvl w:val="0"/>
          <w:numId w:val="1"/>
        </w:numPr>
        <w:autoSpaceDE w:val="0"/>
        <w:autoSpaceDN w:val="0"/>
        <w:adjustRightInd w:val="0"/>
        <w:spacing w:after="240" w:line="360" w:lineRule="auto"/>
        <w:ind w:left="1134" w:right="142" w:firstLine="0"/>
        <w:jc w:val="both"/>
        <w:rPr>
          <w:rFonts w:ascii="Times New Roman" w:hAnsi="Times New Roman" w:cs="Times New Roman"/>
        </w:rPr>
      </w:pPr>
      <w:r w:rsidRPr="00010F69">
        <w:rPr>
          <w:rFonts w:ascii="Times New Roman" w:hAnsi="Times New Roman" w:cs="Times New Roman"/>
        </w:rPr>
        <w:t xml:space="preserve">l’assenza di una spiegazione migliore della SM per spiegare la presenza delle lesioni. Ciò si dimostra clinicamente </w:t>
      </w:r>
      <w:r>
        <w:rPr>
          <w:rFonts w:ascii="Times New Roman" w:hAnsi="Times New Roman" w:cs="Times New Roman"/>
        </w:rPr>
        <w:t>attestando</w:t>
      </w:r>
      <w:r w:rsidRPr="00010F69">
        <w:rPr>
          <w:rFonts w:ascii="Times New Roman" w:hAnsi="Times New Roman" w:cs="Times New Roman"/>
        </w:rPr>
        <w:t xml:space="preserve"> la mancanza di elementi clinici, laboratoristici e di imaging di un’altra patologia che, all’esordio clinico, può mimare la </w:t>
      </w:r>
      <w:r>
        <w:rPr>
          <w:rFonts w:ascii="Times New Roman" w:hAnsi="Times New Roman" w:cs="Times New Roman"/>
        </w:rPr>
        <w:t xml:space="preserve">SM </w:t>
      </w:r>
      <w:r w:rsidRPr="00010F69">
        <w:rPr>
          <w:rFonts w:ascii="Times New Roman" w:hAnsi="Times New Roman" w:cs="Times New Roman"/>
        </w:rPr>
        <w:t>(</w:t>
      </w:r>
      <w:r w:rsidRPr="00010F69">
        <w:rPr>
          <w:rFonts w:ascii="Times New Roman" w:hAnsi="Times New Roman" w:cs="Times New Roman"/>
          <w:b/>
        </w:rPr>
        <w:t xml:space="preserve">il concetto di </w:t>
      </w:r>
      <w:r>
        <w:rPr>
          <w:rFonts w:ascii="Times New Roman" w:hAnsi="Times New Roman" w:cs="Times New Roman"/>
          <w:b/>
        </w:rPr>
        <w:t>“no better e</w:t>
      </w:r>
      <w:r w:rsidRPr="00010F69">
        <w:rPr>
          <w:rFonts w:ascii="Times New Roman" w:hAnsi="Times New Roman" w:cs="Times New Roman"/>
          <w:b/>
        </w:rPr>
        <w:t>xplanation</w:t>
      </w:r>
      <w:r>
        <w:rPr>
          <w:rFonts w:ascii="Times New Roman" w:hAnsi="Times New Roman" w:cs="Times New Roman"/>
          <w:b/>
        </w:rPr>
        <w:t>”</w:t>
      </w:r>
      <w:r w:rsidRPr="00010F69">
        <w:rPr>
          <w:rFonts w:ascii="Times New Roman" w:hAnsi="Times New Roman" w:cs="Times New Roman"/>
          <w:b/>
        </w:rPr>
        <w:t>)</w:t>
      </w:r>
      <w:r w:rsidRPr="00010F69">
        <w:rPr>
          <w:rFonts w:ascii="Times New Roman" w:hAnsi="Times New Roman" w:cs="Times New Roman"/>
        </w:rPr>
        <w:t>.</w:t>
      </w:r>
    </w:p>
    <w:p w:rsidR="00BD0D01" w:rsidRPr="00010F69" w:rsidRDefault="00BD0D01" w:rsidP="00BD0D01">
      <w:pPr>
        <w:widowControl w:val="0"/>
        <w:autoSpaceDE w:val="0"/>
        <w:autoSpaceDN w:val="0"/>
        <w:adjustRightInd w:val="0"/>
        <w:spacing w:after="240" w:line="360" w:lineRule="auto"/>
        <w:ind w:left="1134" w:right="142"/>
        <w:jc w:val="both"/>
        <w:rPr>
          <w:rFonts w:ascii="Times New Roman" w:hAnsi="Times New Roman" w:cs="Times New Roman"/>
        </w:rPr>
      </w:pPr>
      <w:r w:rsidRPr="00010F69">
        <w:rPr>
          <w:rFonts w:ascii="Times New Roman" w:hAnsi="Times New Roman" w:cs="Times New Roman"/>
        </w:rPr>
        <w:t>I primi criteri adottati furono quelli di Schumacher risalenti al 1965</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"10.1111/j.1749-6632.1965.tb20235.x", "ISSN" : "00778923", "author" : [ { "dropping-particle" : "", "family" : "Schumacher", "given" : "George A.", "non-dropping-particle" : "", "parse-names" : false, "suffix" : "" }, { "dropping-particle" : "", "family" : "Beebe", "given" : "Gilbert", "non-dropping-particle" : "", "parse-names" : false, "suffix" : "" }, { "dropping-particle" : "", "family" : "Kibler", "given" : "Robert F.", "non-dropping-particle" : "", "parse-names" : false, "suffix" : "" }, { "dropping-particle" : "", "family" : "Kurland", "given" : "Leonard T.", "non-dropping-particle" : "", "parse-names" : false, "suffix" : "" }, { "dropping-particle" : "", "family" : "Kurtzke", "given" : "John F.", "non-dropping-particle" : "", "parse-names" : false, "suffix" : "" }, { "dropping-particle" : "", "family" : "McDowell", "given" : "Fletcher", "non-dropping-particle" : "", "parse-names" : false, "suffix" : "" }, { "dropping-particle" : "", "family" : "Nagler", "given" : "Benedict", "non-dropping-particle" : "", "parse-names" : false, "suffix" : "" }, { "dropping-particle" : "", "family" : "Sibley", "given" : "William A.", "non-dropping-particle" : "", "parse-names" : false, "suffix" : "" }, { "dropping-particle" : "", "family" : "Tourtellotte", "given" : "Wallace W.", "non-dropping-particle" : "", "parse-names" : false, "suffix" : "" }, { "dropping-particle" : "", "family" : "Willmon", "given" : "Thomas L.", "non-dropping-particle" : "", "parse-names" : false, "suffix" : "" } ], "container-title" : "Annals of the New York Academy of Sciences", "id" : "ITEM-1", "issue" : "1", "issued" : { "date-parts" : [ [ "2006", "12", "16" ] ] }, "page" : "552-568", "publisher" : "Blackwell Publishing Ltd", "title" : "PROBLEMS OF EXPERIMENTAL TRIALS OF THERAPY IN MULTIPLE SCLEROSIS: REPORT BY THE PANEL ON THE EVALUATION OF EXPERIMENTAL TRIALS OF THERAPY IN MULTIPLE SCLEROSIS", "type" : "article-journal", "volume" : "122" }, "uris" : [ "http://www.mendeley.com/documents/?uuid=03cf15b6-dd6f-3c1a-834c-a36d0e68e49e" ] } ], "mendeley" : { "formattedCitation" : "&lt;sup&gt;62&lt;/sup&gt;", "plainTextFormattedCitation" : "62", "previouslyFormattedCitation" : "&lt;sup&gt;62&lt;/sup&gt;" }, "properties" : { "noteIndex" : 0 }, "schema" : "https://github.com/citation-style-language/schema/raw/master/csl-citation.json" }</w:instrText>
      </w:r>
      <w:r w:rsidRPr="006C2258">
        <w:rPr>
          <w:rStyle w:val="Apice1"/>
        </w:rPr>
        <w:fldChar w:fldCharType="separate"/>
      </w:r>
      <w:r w:rsidRPr="006C2258">
        <w:rPr>
          <w:rStyle w:val="Apice1"/>
          <w:noProof/>
        </w:rPr>
        <w:t>62</w:t>
      </w:r>
      <w:r w:rsidRPr="006C2258">
        <w:rPr>
          <w:rStyle w:val="Apice1"/>
        </w:rPr>
        <w:fldChar w:fldCharType="end"/>
      </w:r>
      <w:r w:rsidRPr="00010F69">
        <w:rPr>
          <w:rFonts w:ascii="Times New Roman" w:hAnsi="Times New Roman" w:cs="Times New Roman"/>
          <w:vertAlign w:val="superscript"/>
        </w:rPr>
        <w:t xml:space="preserve"> </w:t>
      </w:r>
      <w:r w:rsidRPr="00010F69">
        <w:rPr>
          <w:rFonts w:ascii="Times New Roman" w:hAnsi="Times New Roman" w:cs="Times New Roman"/>
        </w:rPr>
        <w:t xml:space="preserve"> Tali criteri facevano riferimento alla sola presenza di segni clinici di malattia. </w:t>
      </w:r>
      <w:r w:rsidRPr="00010F69">
        <w:rPr>
          <w:rFonts w:ascii="Times New Roman" w:hAnsi="Times New Roman" w:cs="Times New Roman"/>
        </w:rPr>
        <w:br/>
        <w:t>In seguito vennero rivisti da Poser nel 1970 includendo anche l’indagine dell’LCS mediante elettroforesi di bande IgG oligoclonali (BOIgG) e mediante calcolo di un</w:t>
      </w:r>
      <w:r>
        <w:rPr>
          <w:rFonts w:ascii="Times New Roman" w:hAnsi="Times New Roman" w:cs="Times New Roman"/>
        </w:rPr>
        <w:t xml:space="preserve"> valore di IgG index o link i</w:t>
      </w:r>
      <w:r w:rsidRPr="00010F69">
        <w:rPr>
          <w:rFonts w:ascii="Times New Roman" w:hAnsi="Times New Roman" w:cs="Times New Roman"/>
        </w:rPr>
        <w:t>ndex superiore a 0.71</w:t>
      </w:r>
      <w:r w:rsidRPr="006C2258">
        <w:rPr>
          <w:rStyle w:val="Apice1"/>
        </w:rPr>
        <w:fldChar w:fldCharType="begin" w:fldLock="1"/>
      </w:r>
      <w:r w:rsidRPr="006C2258">
        <w:rPr>
          <w:rStyle w:val="Apice1"/>
        </w:rPr>
        <w:instrText>ADDIN CSL_CITATION { "citationItems" : [ { "id" : "ITEM-1", "itemData" : { "DOI" : "10.1016/0009-8981(89)90232-5", "ISSN" : "00098981", "abstract" : "In order to develop a better formula for discrimination between transsudated and intrathecally produced IgG, we studied the relation between cerebrospinal fluid (CSF) IgG, serum IgG, CSF albumin, and serum albumin for patients with blood brain barrier (BBB) damage. From this study we derived a new formula, IgG extended index = (CSF IgG/serum IgG)/(CSF albumin/serum albumin)1.12 Applying this index on 152 patients with BBB damage, but no expected intrathecal IgG synthesis, yielded 14 patients (9.2%) with increased (&gt; 1.24) IgG extended index. In comparison, 'conventional' IgG index was increased in 34 of the patients (22%). The diagnostic sensitivity for 68 patients with multiple sclerosis (MS), did not differ significantly between the two formulas (81 and 87%, respectively). A formula for the estimation of 24 hours IgG production was also developed, but this formula was not better than IgG index. Children (0.5-16 yr) had similar IgG patterns as adults. ?? 1989.", "author" : [ { "dropping-particle" : "", "family" : "\u00d6hman", "given" : "Sten", "non-dropping-particle" : "", "parse-names" : false, "suffix" : "" }, { "dropping-particle" : "", "family" : "Forsberg", "given" : "Pia", "non-dropping-particle" : "", "parse-names" : false, "suffix" : "" }, { "dropping-particle" : "", "family" : "Nelson", "given" : "Nina", "non-dropping-particle" : "", "parse-names" : false, "suffix" : "" }, { "dropping-particle" : "", "family" : "Vrethem", "given" : "Magnus", "non-dropping-particle" : "", "parse-names" : false, "suffix" : "" } ], "container-title" : "Clinica Chimica Acta", "id" : "ITEM-1", "issue" : "3", "issued" : { "date-parts" : [ [ "1989" ] ] }, "page" : "265-272", "title" : "An improved formula for the judgement of intrathecally produced IgG in the presence of blood brain barrier damage", "type" : "article-journal", "volume" : "181" }, "uris" : [ "http://www.mendeley.com/documents/?uuid=a11c51b7-4c44-46d1-a6a0-f6983d8bb9f1" ] } ], "mendeley" : { "formattedCitation" : "&lt;sup&gt;63&lt;/sup&gt;", "plainTextFormattedCitation" : "63", "previouslyFormattedCitation" : "&lt;sup&gt;63&lt;/sup&gt;" }, "properties" : { "noteIndex" : 0 }, "schema" : "https://github.com/citation-style-language/schema/raw/master/csl-citation.json" }</w:instrText>
      </w:r>
      <w:r w:rsidRPr="006C2258">
        <w:rPr>
          <w:rStyle w:val="Apice1"/>
        </w:rPr>
        <w:fldChar w:fldCharType="separate"/>
      </w:r>
      <w:r w:rsidRPr="006C2258">
        <w:rPr>
          <w:rStyle w:val="Apice1"/>
          <w:noProof/>
        </w:rPr>
        <w:t>63</w:t>
      </w:r>
      <w:r w:rsidRPr="006C2258">
        <w:rPr>
          <w:rStyle w:val="Apice1"/>
        </w:rPr>
        <w:fldChar w:fldCharType="end"/>
      </w:r>
      <w:r>
        <w:rPr>
          <w:rFonts w:ascii="Times New Roman" w:hAnsi="Times New Roman" w:cs="Times New Roman"/>
        </w:rPr>
        <w:t>, che assumono</w:t>
      </w:r>
      <w:r w:rsidRPr="00010F69">
        <w:rPr>
          <w:rFonts w:ascii="Times New Roman" w:hAnsi="Times New Roman" w:cs="Times New Roman"/>
        </w:rPr>
        <w:t xml:space="preserve"> dunque un ruolo nei criteri diagnostici</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"10.1002/ana.410130302", "ISBN" : "0364-5134", "ISSN" : "0364-5134", "PMID" : "6847134", "abstract" : "The gestational history of 512 women with multiple sclerosis revealed that the risk of MS-onset, exacerbation, or progression was two to three times as high during the 6 months after childbirth as during pregnancy. Using a progression-index as a measure of prognosis (disability divided by duration), the speed of deterioration was comparable for women who became pregnant and those who did not. An apparent but insignificant trend toward better prognosis for women with pregnancies after MS-onset was most likely due to their younger age at onset. The natural course of pregnancy and childbirth was comparable among women pregnant before and during the disease. There was no evidence of an increased frequency of congenital malformations in the offsprings.", "author" : [ { "dropping-particle" : "", "family" : "Poser", "given" : "C M", "non-dropping-particle" : "", "parse-names" : false, "suffix" : "" }, { "dropping-particle" : "", "family" : "Paty", "given" : "D W", "non-dropping-particle" : "", "parse-names" : false, "suffix" : "" }, { "dropping-particle" : "", "family" : "Scheinberg", "given" : "L", "non-dropping-particle" : "", "parse-names" : false, "suffix" : "" }, { "dropping-particle" : "", "family" : "McDonald", "given" : "W I", "non-dropping-particle" : "", "parse-names" : false, "suffix" : "" }, { "dropping-particle" : "", "family" : "Davis", "given" : "F A", "non-dropping-particle" : "", "parse-names" : false, "suffix" : "" }, { "dropping-particle" : "", "family" : "Ebers", "given" : "G C", "non-dropping-particle" : "", "parse-names" : false, "suffix" : "" }, { "dropping-particle" : "", "family" : "Johnson", "given" : "K P", "non-dropping-particle" : "", "parse-names" : false, "suffix" : "" }, { "dropping-particle" : "", "family" : "Sibley", "given" : "W A", "non-dropping-particle" : "", "parse-names" : false, "suffix" : "" }, { "dropping-particle" : "", "family" : "Silberberg", "given" : "D H", "non-dropping-particle" : "", "parse-names" : false, "suffix" : "" }, { "dropping-particle" : "", "family" : "Tourtellotte", "given" : "W W", "non-dropping-particle" : "", "parse-names" : false, "suffix" : "" } ], "container-title" : "Annals of neurology", "id" : "ITEM-1", "issue" : "3", "issued" : { "date-parts" : [ [ "1983" ] ] }, "page" : "227-31", "title" : "New diagnostic criteria for multiple sclerosis: guidelines for research protocols.", "type" : "article-journal", "volume" : "13" }, "uris" : [ "http://www.mendeley.com/documents/?uuid=15a2e369-9b6c-4490-a61e-dfb5f29cef8a" ] } ], "mendeley" : { "formattedCitation" : "&lt;sup&gt;64&lt;/sup&gt;", "plainTextFormattedCitation" : "64", "previouslyFormattedCitation" : "&lt;sup&gt;64&lt;/sup&gt;" }, "properties" : { "noteIndex" : 0 }, "schema" : "https://github.com/citation-style-language/schema/raw/master/csl-citation.json" }</w:instrText>
      </w:r>
      <w:r w:rsidRPr="006C2258">
        <w:rPr>
          <w:rStyle w:val="Apice1"/>
        </w:rPr>
        <w:fldChar w:fldCharType="separate"/>
      </w:r>
      <w:r w:rsidRPr="006C2258">
        <w:rPr>
          <w:rStyle w:val="Apice1"/>
          <w:noProof/>
        </w:rPr>
        <w:t>64</w:t>
      </w:r>
      <w:r w:rsidRPr="006C2258">
        <w:rPr>
          <w:rStyle w:val="Apice1"/>
        </w:rPr>
        <w:fldChar w:fldCharType="end"/>
      </w:r>
      <w:r w:rsidRPr="00010F69">
        <w:rPr>
          <w:rFonts w:ascii="Times New Roman" w:hAnsi="Times New Roman" w:cs="Times New Roman"/>
          <w:vertAlign w:val="superscript"/>
        </w:rPr>
        <w:t xml:space="preserve"> </w:t>
      </w:r>
      <w:r w:rsidRPr="00010F69">
        <w:rPr>
          <w:rFonts w:ascii="Times New Roman" w:hAnsi="Times New Roman" w:cs="Times New Roman"/>
        </w:rPr>
        <w:t xml:space="preserve">A metà degli anni ’80 ciò che rivoluzionò radicalmente la diagnosi della patologia fu l’introduzione della </w:t>
      </w:r>
      <w:r>
        <w:rPr>
          <w:rFonts w:ascii="Times New Roman" w:hAnsi="Times New Roman" w:cs="Times New Roman"/>
        </w:rPr>
        <w:t>risonanza magnetica (</w:t>
      </w:r>
      <w:r w:rsidRPr="00010F69">
        <w:rPr>
          <w:rFonts w:ascii="Times New Roman" w:hAnsi="Times New Roman" w:cs="Times New Roman"/>
        </w:rPr>
        <w:t>RMN</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"10.1212/WNL.0b013e3181cec45c", "author" : [ { "dropping-particle" : "", "family" : "Montalban", "given" : "X", "non-dropping-particle" : "", "parse-names" : false, "suffix" : "" }, { "dropping-particle" : "", "family" : "Tintor\u00e9", "given" : "M", "non-dropping-particle" : "", "parse-names" : false, "suffix" : "" }, { "dropping-particle" : "", "family" : "Swanton", "given" : "J", "non-dropping-particle" : "", "parse-names" : false, "suffix" : "" } ], "id" : "ITEM-1", "issued" : { "date-parts" : [ [ "2011" ] ] }, "page" : "427-434", "title" : "ISSUES IN PRACTICE MRI criteria for MS in patients with clinically isolated syndromes", "type" : "article-journal" }, "uris" : [ "http://www.mendeley.com/documents/?uuid=d8fdd506-ca22-4b24-85a2-4d951a54f41c" ] } ], "mendeley" : { "formattedCitation" : "&lt;sup&gt;65&lt;/sup&gt;", "plainTextFormattedCitation" : "65", "previouslyFormattedCitation" : "&lt;sup&gt;65&lt;/sup&gt;" }, "properties" : { "noteIndex" : 0 }, "schema" : "https://github.com/citation-style-language/schema/raw/master/csl-citation.json" }</w:instrText>
      </w:r>
      <w:r w:rsidRPr="006C2258">
        <w:rPr>
          <w:rStyle w:val="Apice1"/>
        </w:rPr>
        <w:fldChar w:fldCharType="separate"/>
      </w:r>
      <w:r w:rsidRPr="006C2258">
        <w:rPr>
          <w:rStyle w:val="Apice1"/>
          <w:noProof/>
        </w:rPr>
        <w:t>65</w:t>
      </w:r>
      <w:r w:rsidRPr="006C2258">
        <w:rPr>
          <w:rStyle w:val="Apice1"/>
        </w:rPr>
        <w:fldChar w:fldCharType="end"/>
      </w:r>
      <w:r w:rsidRPr="00010F69">
        <w:rPr>
          <w:rFonts w:ascii="Times New Roman" w:hAnsi="Times New Roman" w:cs="Times New Roman"/>
        </w:rPr>
        <w:t xml:space="preserve"> </w:t>
      </w:r>
    </w:p>
    <w:p w:rsidR="00BD0D01" w:rsidRPr="00010F69" w:rsidRDefault="00BD0D01" w:rsidP="00BD0D01">
      <w:pPr>
        <w:widowControl w:val="0"/>
        <w:autoSpaceDE w:val="0"/>
        <w:autoSpaceDN w:val="0"/>
        <w:adjustRightInd w:val="0"/>
        <w:spacing w:after="240" w:line="360" w:lineRule="auto"/>
        <w:ind w:left="1134" w:right="142"/>
        <w:jc w:val="both"/>
        <w:rPr>
          <w:rFonts w:ascii="Times New Roman" w:hAnsi="Times New Roman" w:cs="Times New Roman"/>
        </w:rPr>
      </w:pPr>
      <w:r w:rsidRPr="00010F69">
        <w:rPr>
          <w:rFonts w:ascii="Times New Roman" w:hAnsi="Times New Roman" w:cs="Times New Roman"/>
        </w:rPr>
        <w:t>Il primo tentativo di inglobare l’utilizzo della RMN come parte integrante della diagnosi di SM si deve ai primi criteri radiologici negli anni</w:t>
      </w:r>
      <w:r>
        <w:rPr>
          <w:rFonts w:ascii="Times New Roman" w:hAnsi="Times New Roman" w:cs="Times New Roman"/>
        </w:rPr>
        <w:t xml:space="preserve"> ’</w:t>
      </w:r>
      <w:r w:rsidRPr="00010F69">
        <w:rPr>
          <w:rFonts w:ascii="Times New Roman" w:hAnsi="Times New Roman" w:cs="Times New Roman"/>
        </w:rPr>
        <w:t>80. Paty</w:t>
      </w:r>
      <w:r w:rsidRPr="00010F69">
        <w:rPr>
          <w:rFonts w:ascii="Times New Roman" w:hAnsi="Times New Roman" w:cs="Times New Roman"/>
          <w:color w:val="000000" w:themeColor="text1"/>
        </w:rPr>
        <w:t xml:space="preserve"> </w:t>
      </w:r>
      <w:r w:rsidRPr="00010F69">
        <w:rPr>
          <w:rFonts w:ascii="Times New Roman" w:hAnsi="Times New Roman" w:cs="Times New Roman"/>
        </w:rPr>
        <w:t>suggerì per primo la ricerca di 4 o più lesioni, o 3 di cui una periventricolare,</w:t>
      </w:r>
      <w:r w:rsidRPr="006C2258">
        <w:rPr>
          <w:rStyle w:val="Apice1"/>
        </w:rPr>
        <w:fldChar w:fldCharType="begin" w:fldLock="1"/>
      </w:r>
      <w:r w:rsidRPr="006C2258">
        <w:rPr>
          <w:rStyle w:val="Apice1"/>
        </w:rPr>
        <w:instrText>ADDIN CSL_CITATION { "citationItems" : [ { "id" : "ITEM-1", "itemData" : { "DOI" : "10.1212/wnl.38.2.180", "ISBN" : "0028-3878", "ISSN" : "0028-3878", "PMID" : "3340277", "abstract" : "We compared the diagnostic capabilities of MRI to CT, evoked potentials (EP), and CSF oligoclonal banding analysis in a prospective evaluation of 200 patients with suspected multiple sclerosis (MS). MRI was the best method for demonstrating dissemination in space. An abnormal appropriate EP in monosymptomatic disease was usually supported by MRI and CSF analysis as being predictive of MS as a clinical diagnosis. A normal appropriate EP study was not satisfactory because MRI and CSF analysis often did not support a diagnosis of non-MS. When there is agreement between three of these paraclinical studies, the diagnosis of MS is probably unequivocal. For use in research studies, laboratory-supported definite MS (LSDMS) could be diagnosed in 85 patients of the total 200 (42.5%), in 19/38 (50%) of optic neuritis (ON) patients, and in 24/52 (46%) of chronic progressive myelopathy (CPM) patients. MRI was 100% successful in identifying patients who qualified for LSDMS in the ON and CPM groups. In a short follow-up (less than 1 year), 19/200 (10%) went on to develop clinically definite MS (CDMS), and MRI predicted that diagnosis in 18/19 (95%). Only long-term follow-up will show how well these studies and the category of LSDMS predict the development of CDMS. The clinical diagnosis of MS (CDMS), even though only 95% accurate, must remain the gold standard.", "author" : [ { "dropping-particle" : "", "family" : "Paty", "given" : "D W", "non-dropping-particle" : "", "parse-names" : false, "suffix" : "" }, { "dropping-particle" : "", "family" : "Oger", "given" : "J J", "non-dropping-particle" : "", "parse-names" : false, "suffix" : "" }, { "dropping-particle" : "", "family" : "Kastrukoff", "given" : "L F", "non-dropping-particle" : "", "parse-names" : false, "suffix" : "" }, { "dropping-particle" : "", "family" : "Hashimoto", "given" : "S A", "non-dropping-particle" : "", "parse-names" : false, "suffix" : "" }, { "dropping-particle" : "", "family" : "Hooge", "given" : "J P", "non-dropping-particle" : "", "parse-names" : false, "suffix" : "" }, { "dropping-particle" : "", "family" : "Eisen", "given" : "A A", "non-dropping-particle" : "", "parse-names" : false, "suffix" : "" }, { "dropping-particle" : "", "family" : "Eisen", "given" : "K A", "non-dropping-particle" : "", "parse-names" : false, "suffix" : "" }, { "dropping-particle" : "", "family" : "Purves", "given" : "S J", "non-dropping-particle" : "", "parse-names" : false, "suffix" : "" }, { "dropping-particle" : "", "family" : "Low", "given" : "M D", "non-dropping-particle" : "", "parse-names" : false, "suffix" : "" }, { "dropping-particle" : "", "family" : "Brandejs", "given" : "V", "non-dropping-particle" : "", "parse-names" : false, "suffix" : "" } ], "container-title" : "Neurology", "id" : "ITEM-1", "issue" : "2", "issued" : { "date-parts" : [ [ "1988" ] ] }, "page" : "180-185", "title" : "MRI in the diagnosis of MS: a prospective study with comparison of clinical evaluation, evoked potentials, oligoclonal banding, and CT.", "type" : "article-journal", "volume" : "38" }, "uris" : [ "http://www.mendeley.com/documents/?uuid=f8555db7-9232-4955-b04f-4e59ef99505f" ] } ], "mendeley" : { "formattedCitation" : "&lt;sup&gt;66&lt;/sup&gt;", "plainTextFormattedCitation" : "66", "previouslyFormattedCitation" : "&lt;sup&gt;66&lt;/sup&gt;" }, "properties" : { "noteIndex" : 0 }, "schema" : "https://github.com/citation-style-language/schema/raw/master/csl-citation.json" }</w:instrText>
      </w:r>
      <w:r w:rsidRPr="006C2258">
        <w:rPr>
          <w:rStyle w:val="Apice1"/>
        </w:rPr>
        <w:fldChar w:fldCharType="separate"/>
      </w:r>
      <w:r w:rsidRPr="006C2258">
        <w:rPr>
          <w:rStyle w:val="Apice1"/>
          <w:noProof/>
        </w:rPr>
        <w:t>66</w:t>
      </w:r>
      <w:r w:rsidRPr="006C2258">
        <w:rPr>
          <w:rStyle w:val="Apice1"/>
        </w:rPr>
        <w:fldChar w:fldCharType="end"/>
      </w:r>
      <w:r w:rsidRPr="00010F69">
        <w:rPr>
          <w:rFonts w:ascii="Times New Roman" w:hAnsi="Times New Roman" w:cs="Times New Roman"/>
        </w:rPr>
        <w:t xml:space="preserve"> Fazekas propose come criterio diagnostico la presenza di 3 o più lesioni con almeno due caratteristiche tra: presenza di una lesione infratentoriale, una periventricolare o una lesione maggiore di 6mm.</w:t>
      </w:r>
      <w:r w:rsidRPr="006C2258">
        <w:rPr>
          <w:rStyle w:val="Apice1"/>
        </w:rPr>
        <w:fldChar w:fldCharType="begin" w:fldLock="1"/>
      </w:r>
      <w:r w:rsidRPr="006C2258">
        <w:rPr>
          <w:rStyle w:val="Apice1"/>
        </w:rPr>
        <w:instrText>ADDIN CSL_CITATION { "citationItems" : [ { "id" : "ITEM-1", "itemData" : { "DOI" : "10.1212/WNL.38.12.1822", "ISBN" : "0028-3878 (Print)\\r0028-3878", "ISSN" : "0028-3878", "PMID" : "3057397", "abstract" : "We reviewed the MRIs of 49 asymptomatic volunteers (age range, 31 to 77 years) and of 50 MS patients (age range, 14 to 63) for areas of increased signal (AIS) and features discriminating MS lesions from lesions seen with normal aging. We obtained optimal specificity of MRI interpretation (100%) if we required at least two of the following three AIS features--size greater than or equal to 6 mm, abutting ventricular bodies, infratentorial location--for a positive MRI diagnosis of MS. Applying these criteria to the MRIs of elderly patients with suspected MS should significantly improve specificity (p less than 0.001) over current quantitative criteria (at least three AIS greater than or equal to 3 mm) without significantly decreasing sensitivity.", "author" : [ { "dropping-particle" : "", "family" : "Fazekas", "given" : "F", "non-dropping-particle" : "", "parse-names" : false, "suffix" : "" }, { "dropping-particle" : "", "family" : "Offenbacher", "given" : "H", "non-dropping-particle" : "", "parse-names" : false, "suffix" : "" }, { "dropping-particle" : "", "family" : "Fuchs", "given" : "S", "non-dropping-particle" : "", "parse-names" : false, "suffix" : "" }, { "dropping-particle" : "", "family" : "Schmidt", "given" : "R", "non-dropping-particle" : "", "parse-names" : false, "suffix" : "" }, { "dropping-particle" : "", "family" : "Niederkorn", "given" : "K", "non-dropping-particle" : "", "parse-names" : false, "suffix" : "" }, { "dropping-particle" : "", "family" : "Horner", "given" : "S", "non-dropping-particle" : "", "parse-names" : false, "suffix" : "" }, { "dropping-particle" : "", "family" : "Lechner", "given" : "H", "non-dropping-particle" : "", "parse-names" : false, "suffix" : "" } ], "container-title" : "Neurology", "id" : "ITEM-1", "issue" : "12", "issued" : { "date-parts" : [ [ "1988" ] ] }, "page" : "1822-1825", "title" : "Criteria for an increased specificity of MRI interpretation in elderly subjects with suspected multiple sclerosis.", "type" : "article-journal", "volume" : "38" }, "uris" : [ "http://www.mendeley.com/documents/?uuid=05ab21f1-f1f8-4ceb-b010-7ddf286e709c" ] } ], "mendeley" : { "formattedCitation" : "&lt;sup&gt;67&lt;/sup&gt;", "plainTextFormattedCitation" : "67", "previouslyFormattedCitation" : "&lt;sup&gt;67&lt;/sup&gt;" }, "properties" : { "noteIndex" : 0 }, "schema" : "https://github.com/citation-style-language/schema/raw/master/csl-citation.json" }</w:instrText>
      </w:r>
      <w:r w:rsidRPr="006C2258">
        <w:rPr>
          <w:rStyle w:val="Apice1"/>
        </w:rPr>
        <w:fldChar w:fldCharType="separate"/>
      </w:r>
      <w:r w:rsidRPr="006C2258">
        <w:rPr>
          <w:rStyle w:val="Apice1"/>
          <w:noProof/>
        </w:rPr>
        <w:t>67</w:t>
      </w:r>
      <w:r w:rsidRPr="006C2258">
        <w:rPr>
          <w:rStyle w:val="Apice1"/>
        </w:rPr>
        <w:fldChar w:fldCharType="end"/>
      </w:r>
      <w:r w:rsidRPr="00010F69">
        <w:rPr>
          <w:rFonts w:ascii="Times New Roman" w:hAnsi="Times New Roman" w:cs="Times New Roman"/>
        </w:rPr>
        <w:t xml:space="preserve"> In ogni caso, erano poco utili nel predire la conversione di pazienti con CIS.</w:t>
      </w:r>
      <w:r w:rsidRPr="006C2258">
        <w:rPr>
          <w:rStyle w:val="Apice1"/>
        </w:rPr>
        <w:fldChar w:fldCharType="begin" w:fldLock="1"/>
      </w:r>
      <w:r w:rsidRPr="006C2258">
        <w:rPr>
          <w:rStyle w:val="Apice1"/>
        </w:rPr>
        <w:instrText>ADDIN CSL_CITATION { "citationItems" : [ { "id" : "ITEM-1", "itemData" : { "DOI" : "10.1212/WNL.0b013e3181cec45c", "author" : [ { "dropping-particle" : "", "family" : "Montalban", "given" : "X", "non-dropping-particle" : "", "parse-names" : false, "suffix" : "" }, { "dropping-particle" : "", "family" : "Tintor\u00e9", "given" : "M", "non-dropping-particle" : "", "parse-names" : false, "suffix" : "" }, { "dropping-particle" : "", "family" : "Swanton", "given" : "J", "non-dropping-particle" : "", "parse-names" : false, "suffix" : "" } ], "id" : "ITEM-1", "issued" : { "date-parts" : [ [ "2011" ] ] }, "page" : "427-434", "title" : "ISSUES IN PRACTICE MRI criteria for MS in patients with clinically isolated syndromes", "type" : "article-journal" }, "uris" : [ "http://www.mendeley.com/documents/?uuid=d8fdd506-ca22-4b24-85a2-4d951a54f41c" ] } ], "mendeley" : { "formattedCitation" : "&lt;sup&gt;65&lt;/sup&gt;", "plainTextFormattedCitation" : "65", "previouslyFormattedCitation" : "&lt;sup&gt;65&lt;/sup&gt;" }, "properties" : { "noteIndex" : 0 }, "schema" : "https://github.com/citation-style-language/schema/raw/master/csl-citation.json" }</w:instrText>
      </w:r>
      <w:r w:rsidRPr="006C2258">
        <w:rPr>
          <w:rStyle w:val="Apice1"/>
        </w:rPr>
        <w:fldChar w:fldCharType="separate"/>
      </w:r>
      <w:r w:rsidRPr="006C2258">
        <w:rPr>
          <w:rStyle w:val="Apice1"/>
          <w:noProof/>
        </w:rPr>
        <w:t>65</w:t>
      </w:r>
      <w:r w:rsidRPr="006C2258">
        <w:rPr>
          <w:rStyle w:val="Apice1"/>
        </w:rPr>
        <w:fldChar w:fldCharType="end"/>
      </w:r>
    </w:p>
    <w:p w:rsidR="00BD0D01" w:rsidRPr="00010F69" w:rsidRDefault="00BD0D01" w:rsidP="00BD0D01">
      <w:pPr>
        <w:widowControl w:val="0"/>
        <w:autoSpaceDE w:val="0"/>
        <w:autoSpaceDN w:val="0"/>
        <w:adjustRightInd w:val="0"/>
        <w:spacing w:after="240" w:line="360" w:lineRule="auto"/>
        <w:ind w:left="1134" w:right="142"/>
        <w:jc w:val="both"/>
        <w:rPr>
          <w:rFonts w:ascii="Times New Roman" w:hAnsi="Times New Roman" w:cs="Times New Roman"/>
        </w:rPr>
      </w:pPr>
      <w:r w:rsidRPr="00010F69">
        <w:rPr>
          <w:rFonts w:ascii="Times New Roman" w:hAnsi="Times New Roman" w:cs="Times New Roman"/>
        </w:rPr>
        <w:t>Una grossa spinta in avanti fu l’introduzione di nuovi criteri radiologici proposti da Barkhof e modificati in seguito da Tintorè</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"10782781", "ISBN" : "0195-6108 (Print)\\r0195-6108 (Linking)", "ISSN" : "01956108", "PMID" : "10782781", "abstract" : "The four dichotomized MR imaging parameters proposed by Barkhof et al are more specific and accurate than the criteria proposed by Paty et al or Fazekas et al for predicting conversion to clinically definite multiple sclerosis.", "author" : [ { "dropping-particle" : "", "family" : "Tintor\u00e9", "given" : "Mar", "non-dropping-particle" : "", "parse-names" : false, "suffix" : "" }, { "dropping-particle" : "", "family" : "Rovira", "given" : "Alex", "non-dropping-particle" : "", "parse-names" : false, "suffix" : "" }, { "dropping-particle" : "", "family" : "Mart\u00ednez", "given" : "Maria J.", "non-dropping-particle" : "", "parse-names" : false, "suffix" : "" }, { "dropping-particle" : "", "family" : "Rio", "given" : "Jordi", "non-dropping-particle" : "", "parse-names" : false, "suffix" : "" }, { "dropping-particle" : "", "family" : "D\u00edaz-Villoslada", "given" : "Pablo", "non-dropping-particle" : "", "parse-names" : false, "suffix" : "" }, { "dropping-particle" : "", "family" : "Brieva", "given" : "Luis", "non-dropping-particle" : "", "parse-names" : false, "suffix" : "" }, { "dropping-particle" : "", "family" : "Borr\u00e1s", "given" : "Cecilia", "non-dropping-particle" : "", "parse-names" : false, "suffix" : "" }, { "dropping-particle" : "", "family" : "Griv\u00e9", "given" : "Elisenda", "non-dropping-particle" : "", "parse-names" : false, "suffix" : "" }, { "dropping-particle" : "", "family" : "Capellades", "given" : "Jaume", "non-dropping-particle" : "", "parse-names" : false, "suffix" : "" }, { "dropping-particle" : "", "family" : "Montalban", "given" : "Xavier", "non-dropping-particle" : "", "parse-names" : false, "suffix" : "" } ], "container-title" : "American Journal of Neuroradiology", "id" : "ITEM-1", "issue" : "4", "issued" : { "date-parts" : [ [ "2000" ] ] }, "page" : "702-706", "title" : "Isolated demyelinating syndromes: Comparison of different MR imaging criteria to predict conversion to clinically definite multiple sclerosis", "type" : "article-journal", "volume" : "21" }, "uris" : [ "http://www.mendeley.com/documents/?uuid=0ebe9384-9f82-43b4-910e-a7c404dcfc52" ] } ], "mendeley" : { "formattedCitation" : "&lt;sup&gt;50&lt;/sup&gt;", "plainTextFormattedCitation" : "50", "previouslyFormattedCitation" : "&lt;sup&gt;50&lt;/sup&gt;" }, "properties" : { "noteIndex" : 0 }, "schema" : "https://github.com/citation-style-language/schema/raw/master/csl-citation.json" }</w:instrText>
      </w:r>
      <w:r w:rsidRPr="006C2258">
        <w:rPr>
          <w:rStyle w:val="Apice1"/>
        </w:rPr>
        <w:fldChar w:fldCharType="separate"/>
      </w:r>
      <w:r w:rsidRPr="006C2258">
        <w:rPr>
          <w:rStyle w:val="Apice1"/>
          <w:noProof/>
        </w:rPr>
        <w:t>50</w:t>
      </w:r>
      <w:r w:rsidRPr="006C2258">
        <w:rPr>
          <w:rStyle w:val="Apice1"/>
        </w:rPr>
        <w:fldChar w:fldCharType="end"/>
      </w:r>
      <w:r w:rsidRPr="00010F69">
        <w:rPr>
          <w:rFonts w:ascii="Times New Roman" w:hAnsi="Times New Roman" w:cs="Times New Roman"/>
        </w:rPr>
        <w:t xml:space="preserve"> (</w:t>
      </w:r>
      <w:r w:rsidRPr="00A55579">
        <w:rPr>
          <w:rFonts w:ascii="Times New Roman" w:hAnsi="Times New Roman" w:cs="Times New Roman"/>
        </w:rPr>
        <w:t>Figura</w:t>
      </w:r>
      <w:r>
        <w:rPr>
          <w:rFonts w:ascii="Times New Roman" w:hAnsi="Times New Roman" w:cs="Times New Roman"/>
        </w:rPr>
        <w:t xml:space="preserve"> 4</w:t>
      </w:r>
      <w:r w:rsidRPr="00010F69">
        <w:rPr>
          <w:rFonts w:ascii="Times New Roman" w:hAnsi="Times New Roman" w:cs="Times New Roman"/>
        </w:rPr>
        <w:t xml:space="preserve">) </w:t>
      </w:r>
    </w:p>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r>
        <w:rPr>
          <w:noProof/>
        </w:rPr>
        <w:lastRenderedPageBreak/>
        <mc:AlternateContent>
          <mc:Choice Requires="wps">
            <w:drawing>
              <wp:anchor distT="0" distB="0" distL="114300" distR="114300" simplePos="0" relativeHeight="251660288" behindDoc="0" locked="0" layoutInCell="1" allowOverlap="1" wp14:anchorId="727275D1" wp14:editId="2C1EBB74">
                <wp:simplePos x="0" y="0"/>
                <wp:positionH relativeFrom="column">
                  <wp:posOffset>814070</wp:posOffset>
                </wp:positionH>
                <wp:positionV relativeFrom="paragraph">
                  <wp:posOffset>1903095</wp:posOffset>
                </wp:positionV>
                <wp:extent cx="4229100" cy="273050"/>
                <wp:effectExtent l="0" t="0" r="0" b="0"/>
                <wp:wrapTight wrapText="bothSides">
                  <wp:wrapPolygon edited="0">
                    <wp:start x="0" y="0"/>
                    <wp:lineTo x="0" y="20571"/>
                    <wp:lineTo x="21535" y="20571"/>
                    <wp:lineTo x="21535" y="0"/>
                    <wp:lineTo x="0" y="0"/>
                  </wp:wrapPolygon>
                </wp:wrapTight>
                <wp:docPr id="23" name="Casella di testo 23"/>
                <wp:cNvGraphicFramePr/>
                <a:graphic xmlns:a="http://schemas.openxmlformats.org/drawingml/2006/main">
                  <a:graphicData uri="http://schemas.microsoft.com/office/word/2010/wordprocessingShape">
                    <wps:wsp>
                      <wps:cNvSpPr txBox="1"/>
                      <wps:spPr>
                        <a:xfrm>
                          <a:off x="0" y="0"/>
                          <a:ext cx="4229100" cy="273050"/>
                        </a:xfrm>
                        <a:prstGeom prst="rect">
                          <a:avLst/>
                        </a:prstGeom>
                        <a:solidFill>
                          <a:prstClr val="white"/>
                        </a:solidFill>
                        <a:ln>
                          <a:noFill/>
                        </a:ln>
                        <a:effectLst/>
                      </wps:spPr>
                      <wps:txbx>
                        <w:txbxContent>
                          <w:p w:rsidR="00BD0D01" w:rsidRPr="00EB5D68" w:rsidRDefault="00BD0D01" w:rsidP="00BD0D01">
                            <w:pPr>
                              <w:pStyle w:val="Didascalia"/>
                              <w:rPr>
                                <w:rFonts w:cs="Times New Roman"/>
                                <w:bCs/>
                                <w:noProof/>
                              </w:rPr>
                            </w:pPr>
                            <w:r>
                              <w:t xml:space="preserve">Figura </w:t>
                            </w:r>
                            <w:r>
                              <w:rPr>
                                <w:noProof/>
                              </w:rPr>
                              <w:fldChar w:fldCharType="begin"/>
                            </w:r>
                            <w:r>
                              <w:rPr>
                                <w:noProof/>
                              </w:rPr>
                              <w:instrText xml:space="preserve"> SEQ Figura \* ARABIC </w:instrText>
                            </w:r>
                            <w:r>
                              <w:rPr>
                                <w:noProof/>
                              </w:rPr>
                              <w:fldChar w:fldCharType="separate"/>
                            </w:r>
                            <w:r>
                              <w:rPr>
                                <w:noProof/>
                              </w:rPr>
                              <w:t>4</w:t>
                            </w:r>
                            <w:r>
                              <w:rPr>
                                <w:noProof/>
                              </w:rPr>
                              <w:fldChar w:fldCharType="end"/>
                            </w:r>
                            <w:r>
                              <w:t>: Criteri Barkhof Tintorè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7275D1" id="_x0000_t202" coordsize="21600,21600" o:spt="202" path="m,l,21600r21600,l21600,xe">
                <v:stroke joinstyle="miter"/>
                <v:path gradientshapeok="t" o:connecttype="rect"/>
              </v:shapetype>
              <v:shape id="Casella di testo 23" o:spid="_x0000_s1026" type="#_x0000_t202" style="position:absolute;left:0;text-align:left;margin-left:64.1pt;margin-top:149.85pt;width:333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" stroked="f">
                <v:textbox style="mso-fit-shape-to-text:t" inset="0,0,0,0">
                  <w:txbxContent>
                    <w:p w:rsidR="00BD0D01" w:rsidRPr="00EB5D68" w:rsidRDefault="00BD0D01" w:rsidP="00BD0D01">
                      <w:pPr>
                        <w:pStyle w:val="Didascalia"/>
                        <w:rPr>
                          <w:rFonts w:cs="Times New Roman"/>
                          <w:bCs/>
                          <w:noProof/>
                        </w:rPr>
                      </w:pPr>
                      <w:r>
                        <w:t xml:space="preserve">Figura </w:t>
                      </w:r>
                      <w:r>
                        <w:rPr>
                          <w:noProof/>
                        </w:rPr>
                        <w:fldChar w:fldCharType="begin"/>
                      </w:r>
                      <w:r>
                        <w:rPr>
                          <w:noProof/>
                        </w:rPr>
                        <w:instrText xml:space="preserve"> SEQ Figura \* ARABIC </w:instrText>
                      </w:r>
                      <w:r>
                        <w:rPr>
                          <w:noProof/>
                        </w:rPr>
                        <w:fldChar w:fldCharType="separate"/>
                      </w:r>
                      <w:r>
                        <w:rPr>
                          <w:noProof/>
                        </w:rPr>
                        <w:t>4</w:t>
                      </w:r>
                      <w:r>
                        <w:rPr>
                          <w:noProof/>
                        </w:rPr>
                        <w:fldChar w:fldCharType="end"/>
                      </w:r>
                      <w:r>
                        <w:t>: Criteri Barkhof Tintorè</w:t>
                      </w:r>
                    </w:p>
                  </w:txbxContent>
                </v:textbox>
                <w10:wrap type="tight"/>
              </v:shape>
            </w:pict>
          </mc:Fallback>
        </mc:AlternateContent>
      </w:r>
      <w:r w:rsidRPr="00010F69">
        <w:rPr>
          <w:rFonts w:ascii="Times New Roman" w:hAnsi="Times New Roman" w:cs="Times New Roman"/>
          <w:bCs/>
          <w:noProof/>
        </w:rPr>
        <mc:AlternateContent>
          <mc:Choice Requires="wps">
            <w:drawing>
              <wp:anchor distT="0" distB="0" distL="114935" distR="114935" simplePos="0" relativeHeight="251659264" behindDoc="1" locked="0" layoutInCell="1" allowOverlap="1" wp14:anchorId="320A139A" wp14:editId="479ED934">
                <wp:simplePos x="0" y="0"/>
                <wp:positionH relativeFrom="column">
                  <wp:posOffset>814070</wp:posOffset>
                </wp:positionH>
                <wp:positionV relativeFrom="paragraph">
                  <wp:posOffset>352425</wp:posOffset>
                </wp:positionV>
                <wp:extent cx="4229100" cy="1493520"/>
                <wp:effectExtent l="0" t="0" r="38100" b="30480"/>
                <wp:wrapTight wrapText="bothSides">
                  <wp:wrapPolygon edited="0">
                    <wp:start x="0" y="0"/>
                    <wp:lineTo x="0" y="21673"/>
                    <wp:lineTo x="21665" y="21673"/>
                    <wp:lineTo x="21665" y="0"/>
                    <wp:lineTo x="0"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93520"/>
                        </a:xfrm>
                        <a:prstGeom prst="rect">
                          <a:avLst/>
                        </a:prstGeom>
                        <a:noFill/>
                        <a:ln w="6350">
                          <a:solidFill>
                            <a:srgbClr val="000000"/>
                          </a:solidFill>
                          <a:miter lim="800000"/>
                          <a:headEnd/>
                          <a:tailEnd/>
                        </a:ln>
                      </wps:spPr>
                      <wps:txbx>
                        <w:txbxContent>
                          <w:p w:rsidR="00BD0D01" w:rsidRPr="00795894" w:rsidRDefault="00BD0D01" w:rsidP="00BD0D01">
                            <w:pPr>
                              <w:spacing w:line="360" w:lineRule="auto"/>
                              <w:rPr>
                                <w:rFonts w:ascii="Times" w:hAnsi="Times"/>
                              </w:rPr>
                            </w:pPr>
                            <w:r w:rsidRPr="00795894">
                              <w:rPr>
                                <w:rFonts w:ascii="Times" w:hAnsi="Times"/>
                              </w:rPr>
                              <w:t>Almeno 3 delle seguenti caratteristiche:</w:t>
                            </w:r>
                          </w:p>
                          <w:p w:rsidR="00BD0D01" w:rsidRPr="00795894" w:rsidRDefault="00BD0D01" w:rsidP="00BD0D01">
                            <w:pPr>
                              <w:spacing w:line="360" w:lineRule="auto"/>
                              <w:ind w:left="360"/>
                              <w:rPr>
                                <w:rFonts w:ascii="Times" w:hAnsi="Times"/>
                              </w:rPr>
                            </w:pPr>
                            <w:r w:rsidRPr="00795894">
                              <w:rPr>
                                <w:rFonts w:ascii="Times" w:hAnsi="Times"/>
                              </w:rPr>
                              <w:t xml:space="preserve">- 1 lesione captante gadolinio </w:t>
                            </w:r>
                            <w:r w:rsidRPr="00795894">
                              <w:rPr>
                                <w:rFonts w:ascii="Times" w:hAnsi="Times"/>
                                <w:i/>
                              </w:rPr>
                              <w:t>oppure</w:t>
                            </w:r>
                            <w:r w:rsidRPr="00795894">
                              <w:rPr>
                                <w:rFonts w:ascii="Times" w:hAnsi="Times"/>
                              </w:rPr>
                              <w:t xml:space="preserve"> almeno 9 lesioni in T2;</w:t>
                            </w:r>
                          </w:p>
                          <w:p w:rsidR="00BD0D01" w:rsidRPr="00795894" w:rsidRDefault="00BD0D01" w:rsidP="00BD0D01">
                            <w:pPr>
                              <w:spacing w:line="360" w:lineRule="auto"/>
                              <w:ind w:left="360"/>
                              <w:rPr>
                                <w:rFonts w:ascii="Times" w:hAnsi="Times"/>
                              </w:rPr>
                            </w:pPr>
                            <w:r w:rsidRPr="00795894">
                              <w:rPr>
                                <w:rFonts w:ascii="Times" w:hAnsi="Times"/>
                              </w:rPr>
                              <w:t>- 1 lesione infratentoriale</w:t>
                            </w:r>
                          </w:p>
                          <w:p w:rsidR="00BD0D01" w:rsidRPr="00795894" w:rsidRDefault="00BD0D01" w:rsidP="00BD0D01">
                            <w:pPr>
                              <w:spacing w:line="360" w:lineRule="auto"/>
                              <w:ind w:left="360"/>
                              <w:rPr>
                                <w:rFonts w:ascii="Times" w:hAnsi="Times"/>
                              </w:rPr>
                            </w:pPr>
                            <w:r w:rsidRPr="00795894">
                              <w:rPr>
                                <w:rFonts w:ascii="Times" w:hAnsi="Times"/>
                              </w:rPr>
                              <w:t>- 1 lesione iuxtacorticale</w:t>
                            </w:r>
                          </w:p>
                          <w:p w:rsidR="00BD0D01" w:rsidRPr="00795894" w:rsidRDefault="00BD0D01" w:rsidP="00BD0D01">
                            <w:pPr>
                              <w:spacing w:line="360" w:lineRule="auto"/>
                              <w:ind w:left="360"/>
                              <w:rPr>
                                <w:rFonts w:ascii="Times" w:hAnsi="Times"/>
                              </w:rPr>
                            </w:pPr>
                            <w:r w:rsidRPr="00795894">
                              <w:rPr>
                                <w:rFonts w:ascii="Times" w:hAnsi="Times"/>
                              </w:rPr>
                              <w:t>- 3 lesioni periventricolari</w:t>
                            </w: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r>
                              <w:t>- 3 lesioni periventricolari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A139A" id="Text Box 3" o:spid="_x0000_s1027" type="#_x0000_t202" style="position:absolute;left:0;text-align:left;margin-left:64.1pt;margin-top:27.75pt;width:333pt;height:117.6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" filled="f" strokeweight=".5pt">
                <v:textbox inset="7.45pt,3.85pt,7.45pt,3.85pt">
                  <w:txbxContent>
                    <w:p w:rsidR="00BD0D01" w:rsidRPr="00795894" w:rsidRDefault="00BD0D01" w:rsidP="00BD0D01">
                      <w:pPr>
                        <w:spacing w:line="360" w:lineRule="auto"/>
                        <w:rPr>
                          <w:rFonts w:ascii="Times" w:hAnsi="Times"/>
                        </w:rPr>
                      </w:pPr>
                      <w:r w:rsidRPr="00795894">
                        <w:rPr>
                          <w:rFonts w:ascii="Times" w:hAnsi="Times"/>
                        </w:rPr>
                        <w:t>Almeno 3 delle seguenti caratteristiche:</w:t>
                      </w:r>
                    </w:p>
                    <w:p w:rsidR="00BD0D01" w:rsidRPr="00795894" w:rsidRDefault="00BD0D01" w:rsidP="00BD0D01">
                      <w:pPr>
                        <w:spacing w:line="360" w:lineRule="auto"/>
                        <w:ind w:left="360"/>
                        <w:rPr>
                          <w:rFonts w:ascii="Times" w:hAnsi="Times"/>
                        </w:rPr>
                      </w:pPr>
                      <w:r w:rsidRPr="00795894">
                        <w:rPr>
                          <w:rFonts w:ascii="Times" w:hAnsi="Times"/>
                        </w:rPr>
                        <w:t xml:space="preserve">- 1 lesione captante gadolinio </w:t>
                      </w:r>
                      <w:r w:rsidRPr="00795894">
                        <w:rPr>
                          <w:rFonts w:ascii="Times" w:hAnsi="Times"/>
                          <w:i/>
                        </w:rPr>
                        <w:t>oppure</w:t>
                      </w:r>
                      <w:r w:rsidRPr="00795894">
                        <w:rPr>
                          <w:rFonts w:ascii="Times" w:hAnsi="Times"/>
                        </w:rPr>
                        <w:t xml:space="preserve"> almeno 9 lesioni in T2;</w:t>
                      </w:r>
                    </w:p>
                    <w:p w:rsidR="00BD0D01" w:rsidRPr="00795894" w:rsidRDefault="00BD0D01" w:rsidP="00BD0D01">
                      <w:pPr>
                        <w:spacing w:line="360" w:lineRule="auto"/>
                        <w:ind w:left="360"/>
                        <w:rPr>
                          <w:rFonts w:ascii="Times" w:hAnsi="Times"/>
                        </w:rPr>
                      </w:pPr>
                      <w:r w:rsidRPr="00795894">
                        <w:rPr>
                          <w:rFonts w:ascii="Times" w:hAnsi="Times"/>
                        </w:rPr>
                        <w:t>- 1 lesione infratentoriale</w:t>
                      </w:r>
                    </w:p>
                    <w:p w:rsidR="00BD0D01" w:rsidRPr="00795894" w:rsidRDefault="00BD0D01" w:rsidP="00BD0D01">
                      <w:pPr>
                        <w:spacing w:line="360" w:lineRule="auto"/>
                        <w:ind w:left="360"/>
                        <w:rPr>
                          <w:rFonts w:ascii="Times" w:hAnsi="Times"/>
                        </w:rPr>
                      </w:pPr>
                      <w:r w:rsidRPr="00795894">
                        <w:rPr>
                          <w:rFonts w:ascii="Times" w:hAnsi="Times"/>
                        </w:rPr>
                        <w:t>- 1 lesione iuxtacorticale</w:t>
                      </w:r>
                    </w:p>
                    <w:p w:rsidR="00BD0D01" w:rsidRPr="00795894" w:rsidRDefault="00BD0D01" w:rsidP="00BD0D01">
                      <w:pPr>
                        <w:spacing w:line="360" w:lineRule="auto"/>
                        <w:ind w:left="360"/>
                        <w:rPr>
                          <w:rFonts w:ascii="Times" w:hAnsi="Times"/>
                        </w:rPr>
                      </w:pPr>
                      <w:r w:rsidRPr="00795894">
                        <w:rPr>
                          <w:rFonts w:ascii="Times" w:hAnsi="Times"/>
                        </w:rPr>
                        <w:t>- 3 lesioni periventricolari</w:t>
                      </w: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p>
                    <w:p w:rsidR="00BD0D01" w:rsidRDefault="00BD0D01" w:rsidP="00BD0D01">
                      <w:pPr>
                        <w:ind w:left="360"/>
                      </w:pPr>
                      <w:r>
                        <w:t>- 3 lesioni periventricolari</w:t>
                      </w:r>
                    </w:p>
                  </w:txbxContent>
                </v:textbox>
                <w10:wrap type="tight"/>
              </v:shape>
            </w:pict>
          </mc:Fallback>
        </mc:AlternateContent>
      </w:r>
    </w:p>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Pr>
          <w:rFonts w:ascii="Times New Roman" w:hAnsi="Times New Roman" w:cs="Times New Roman"/>
        </w:rPr>
        <w:br/>
      </w:r>
      <w:r w:rsidRPr="00010F69">
        <w:rPr>
          <w:rFonts w:ascii="Times New Roman" w:hAnsi="Times New Roman" w:cs="Times New Roman"/>
        </w:rPr>
        <w:t>I nuovi criteri permisero valori di sensibilità, specificità e accuratezza diagnostica superiori al 70% e contribuirono alla formulazione dei criteri di McDonald nel 2001</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"10.1002/ana.1032", "ISBN" : "0364-5134 (Print)\\n0364-5134 (Linking)", "ISSN" : "03645134", "PMID" : "11456302", "abstract" : "The International Panel on MS Diagnosis presents revised diagnostic criteria for multiple sclerosis (MS). The focus remains on the objective demonstration of dissemination of lesions in both time and space. Magnetic resonance imaging is integrated with dinical and other paraclinical diagnostic methods. The revised criteria facilitate the diagnosis of MS in patients with a variety of presentations, including \"monosymptomatic\" disease suggestive of MS, disease with a typical relapsing-remitting course, and disease with insidious progression, without clear attacks and remissions. Previously used terms such as \"clinically definite\" and \"probable MS\" are no longer recommended. The outcome of a diagnostic evaluation is either MS, \"possible MS\" (for those at risk for MS, but for whom diagnostic evaluation is equivocal), or \"not MS.\"", "author" : [ { "dropping-particle" : "", "family" : "McDonald", "given" : "W. Ian", "non-dropping-particle" : "", "parse-names" : false, "suffix" : "" }, { "dropping-particle" : "", "family" : "Compston", "given" : "Alistair", "non-dropping-particle" : "", "parse-names" : false, "suffix" : "" }, { "dropping-particle" : "", "family" : "Edan", "given" : "Gilles", "non-dropping-particle" : "", "parse-names" : false, "suffix" : "" }, { "dropping-particle" : "", "family" : "Goodkin", "given" : "Donald", "non-dropping-particle" : "", "parse-names" : false, "suffix" : "" }, { "dropping-particle" : "", "family" : "Hartung", "given" : "Hans Peter", "non-dropping-particle" : "", "parse-names" : false, "suffix" : "" }, { "dropping-particle" : "", "family" : "Lublin", "given" : "Fred D.", "non-dropping-particle" : "", "parse-names" : false, "suffix" : "" }, { "dropping-particle" : "", "family" : "McFarland", "given" : "Henry F.", "non-dropping-particle" : "", "parse-names" : false, "suffix" : "" }, { "dropping-particle" : "", "family" : "Paty", "given" : "Donald W.", "non-dropping-particle" : "", "parse-names" : false, "suffix" : "" }, { "dropping-particle" : "", "family" : "Polman", "given" : "Chris H.", "non-dropping-particle" : "", "parse-names" : false, "suffix" : "" }, { "dropping-particle" : "", "family" : "Reingold", "given" : "Stephen C.", "non-dropping-particle" : "", "parse-names" : false, "suffix" : "" }, { "dropping-particle" : "", "family" : "Sandberg-Wollheim", "given" : "Magnhild", "non-dropping-particle" : "", "parse-names" : false, "suffix" : "" }, { "dropping-particle" : "", "family" : "Sibley", "given" : "William", "non-dropping-particle" : "", "parse-names" : false, "suffix" : "" }, { "dropping-particle" : "", "family" : "Thompson", "given" : "Alan", "non-dropping-particle" : "", "parse-names" : false, "suffix" : "" }, { "dropping-particle" : "", "family" : "Noort", "given" : "Stanley", "non-dropping-particle" : "Van Den", "parse-names" : false, "suffix" : "" }, { "dropping-particle" : "", "family" : "Weinshenker", "given" : "Brian Y.", "non-dropping-particle" : "", "parse-names" : false, "suffix" : "" }, { "dropping-particle" : "", "family" : "Wolinsky", "given" : "Jerry S.", "non-dropping-particle" : "", "parse-names" : false, "suffix" : "" } ], "container-title" : "Annals of Neurology", "id" : "ITEM-1", "issue" : "1", "issued" : { "date-parts" : [ [ "2001" ] ] }, "page" : "121-127", "title" : "Recommended diagnostic criteria for multiple sclerosis: Guidelines from the International Panel on the Diagnosis of Multiple Sclerosis", "type" : "article-journal", "volume" : "50" }, "uris" : [ "http://www.mendeley.com/documents/?uuid=fde23b67-89e8-4caf-9881-7b99c6333638" ] } ], "mendeley" : { "formattedCitation" : "&lt;sup&gt;68&lt;/sup&gt;", "plainTextFormattedCitation" : "68", "previouslyFormattedCitation" : "&lt;sup&gt;68&lt;/sup&gt;" }, "properties" : { "noteIndex" : 0 }, "schema" : "https://github.com/citation-style-language/schema/raw/master/csl-citation.json" }</w:instrText>
      </w:r>
      <w:r w:rsidRPr="006C2258">
        <w:rPr>
          <w:rStyle w:val="Apice1"/>
        </w:rPr>
        <w:fldChar w:fldCharType="separate"/>
      </w:r>
      <w:r w:rsidRPr="006C2258">
        <w:rPr>
          <w:rStyle w:val="Apice1"/>
          <w:noProof/>
        </w:rPr>
        <w:t>68</w:t>
      </w:r>
      <w:r w:rsidRPr="006C2258">
        <w:rPr>
          <w:rStyle w:val="Apice1"/>
        </w:rPr>
        <w:fldChar w:fldCharType="end"/>
      </w:r>
      <w:r w:rsidRPr="00010F69">
        <w:rPr>
          <w:rFonts w:ascii="Times New Roman" w:hAnsi="Times New Roman" w:cs="Times New Roman"/>
        </w:rPr>
        <w:t xml:space="preserve"> </w:t>
      </w: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Mcdonald propose un metodo in cui per la prima volta la diagnosi di SM, che si fonda comunque sulla dimostrazione della </w:t>
      </w:r>
      <w:r w:rsidRPr="00A55579">
        <w:rPr>
          <w:rFonts w:ascii="Times New Roman" w:hAnsi="Times New Roman" w:cs="Times New Roman"/>
        </w:rPr>
        <w:t>disseminazione nello spazio e nel tempo</w:t>
      </w:r>
      <w:r w:rsidRPr="00010F69">
        <w:rPr>
          <w:rFonts w:ascii="Times New Roman" w:hAnsi="Times New Roman" w:cs="Times New Roman"/>
        </w:rPr>
        <w:t xml:space="preserve"> della malattia, poteva avvalersi della totalità degli strumenti a disposizione del clinico, ovvero non solo di dati clinici, ma anche liquorali e neuroradiologici. </w:t>
      </w:r>
      <w:r w:rsidRPr="00010F69">
        <w:rPr>
          <w:rFonts w:ascii="Times New Roman" w:hAnsi="Times New Roman" w:cs="Times New Roman"/>
        </w:rPr>
        <w:br/>
        <w:t xml:space="preserve">Nello specifico, la disseminazione nello spazio poteva essere dimostrata alla RMN tramite acquisizione dei criteri di Barkhof-Tintoré, oppure mediante il riscontro radiologico di almeno 2 lesioni di natura infiammatoria coesistenti con la presenza </w:t>
      </w:r>
      <w:r>
        <w:rPr>
          <w:rFonts w:ascii="Times New Roman" w:hAnsi="Times New Roman" w:cs="Times New Roman"/>
        </w:rPr>
        <w:t>di BOIgG all’indagine liquorale. L</w:t>
      </w:r>
      <w:r w:rsidRPr="00010F69">
        <w:rPr>
          <w:rFonts w:ascii="Times New Roman" w:hAnsi="Times New Roman" w:cs="Times New Roman"/>
        </w:rPr>
        <w:t xml:space="preserve">a disseminazione nel tempo poteva invece essere dimostrata radiologicamente mediante il riscontro, </w:t>
      </w:r>
      <w:r>
        <w:rPr>
          <w:rFonts w:ascii="Times New Roman" w:hAnsi="Times New Roman" w:cs="Times New Roman"/>
        </w:rPr>
        <w:t>dopo</w:t>
      </w:r>
      <w:r w:rsidRPr="00010F69">
        <w:rPr>
          <w:rFonts w:ascii="Times New Roman" w:hAnsi="Times New Roman" w:cs="Times New Roman"/>
        </w:rPr>
        <w:t xml:space="preserve"> un controllo RMN </w:t>
      </w:r>
      <w:r>
        <w:rPr>
          <w:rFonts w:ascii="Times New Roman" w:hAnsi="Times New Roman" w:cs="Times New Roman"/>
        </w:rPr>
        <w:t>con riferimento alla scan</w:t>
      </w:r>
      <w:r w:rsidRPr="00010F69">
        <w:rPr>
          <w:rFonts w:ascii="Times New Roman" w:hAnsi="Times New Roman" w:cs="Times New Roman"/>
        </w:rPr>
        <w:t xml:space="preserve"> precedente </w:t>
      </w:r>
      <w:r>
        <w:rPr>
          <w:rFonts w:ascii="Times New Roman" w:hAnsi="Times New Roman" w:cs="Times New Roman"/>
        </w:rPr>
        <w:t>a più di</w:t>
      </w:r>
      <w:r w:rsidRPr="00010F69">
        <w:rPr>
          <w:rFonts w:ascii="Times New Roman" w:hAnsi="Times New Roman" w:cs="Times New Roman"/>
        </w:rPr>
        <w:t xml:space="preserve"> 3 mesi dall’esordio con CIS, di una nuova lesione nelle sequenze pesate in T2, oppure alternativamente di una lesione captante gadolinio anch’essa ad almeno 3 mesi di distanza</w:t>
      </w:r>
      <w:r>
        <w:rPr>
          <w:rFonts w:ascii="Times New Roman" w:hAnsi="Times New Roman" w:cs="Times New Roman"/>
        </w:rPr>
        <w:t xml:space="preserve"> dall’esordio</w:t>
      </w:r>
      <w:r w:rsidRPr="00010F69">
        <w:rPr>
          <w:rFonts w:ascii="Times New Roman" w:hAnsi="Times New Roman" w:cs="Times New Roman"/>
        </w:rPr>
        <w:t>.</w:t>
      </w:r>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Oltre alle nuove introduzioni neuroradiologiche e liquorali, persisteva in ogni caso la validità dei criteri clinici di disseminazione nello spazio (un ulteriore sintomo neurologico derivante dalla presenza di una lesione in una sede differente) e nel tempo (un secondo attacco clinico). </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I criteri formulati da McDonald vennero poi rivisti nel 2005</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"10.1002/ana.20703", "ISBN" : "0364-5134", "ISSN" : "03645134", "PMID" : "16283615", "abstract" : "New diagnostic criteria for multiple sclerosis integrating magnetic resonance image assessment with clinical and other paraclinical methods were introduced in 2001. The \"McDonald Criteria\" have been extensively assessed and used since 2001. New evidence and consensus now strengthen the role of these criteria in the multiple sclerosis diagnostic workup to demonstrate dissemination of lesions in time, to clarify the use of spinal cord lesions, and to simplify diagnosis of primary progressive disease. The 2005 Revisions to the McDonald Diagnostic Criteria for MS should simplify and speed diagnosis, whereas maintaining adequate sensitivity and specificity.", "author" : [ { "dropping-particle" : "", "family" : "Polman", "given" : "Chris H.", "non-dropping-particle" : "", "parse-names" : false, "suffix" : "" }, { "dropping-particle" : "", "family" : "Reingold", "given" : "Stephen C.", "non-dropping-particle" : "", "parse-names" : false, "suffix" : "" }, { "dropping-particle" : "", "family" : "Edan", "given" : "Gilles", "non-dropping-particle" : "", "parse-names" : false, "suffix" : "" }, { "dropping-particle" : "", "family" : "Filippi", "given" : "Massimo", "non-dropping-particle" : "", "parse-names" : false, "suffix" : "" }, { "dropping-particle" : "", "family" : "Hartung", "given" : "Hans Peter", "non-dropping-particle" : "", "parse-names" : false, "suffix" : "" }, { "dropping-particle" : "", "family" : "Kappos", "given" : "Ludwig", "non-dropping-particle" : "", "parse-names" : false, "suffix" : "" }, { "dropping-particle" : "", "family" : "Lublin", "given" : "Fred D.", "non-dropping-particle" : "", "parse-names" : false, "suffix" : "" }, { "dropping-particle" : "", "family" : "Metz", "given" : "Luanne M.", "non-dropping-particle" : "", "parse-names" : false, "suffix" : "" }, { "dropping-particle" : "", "family" : "McFarland", "given" : "Henry F.", "non-dropping-particle" : "", "parse-names" : false, "suffix" : "" }, { "dropping-particle" : "", "family" : "O'Connor", "given" : "Paul W.",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"Weinshenker", "given" : "Brian G.", "non-dropping-particle" : "", "parse-names" : false, "suffix" : "" }, { "dropping-particle" : "", "family" : "Wolinsky", "given" : "Jerry S.", "non-dropping-particle" : "", "parse-names" : false, "suffix" : "" } ], "container-title" : "Annals of Neurology", "id" : "ITEM-1", "issue" : "6", "issued" : { "date-parts" : [ [ "2005" ] ] }, "page" : "840-846", "title" : "Diagnostic criteria for multiple sclerosis: 2005 Revisions to the \"McDonald Criteria\"", "type" : "article", "volume" : "58" }, "uris" : [ "http://www.mendeley.com/documents/?uuid=f8a63556-12c0-4417-ad8f-b7b37a46522e" ] } ], "mendeley" : { "formattedCitation" : "&lt;sup&gt;69&lt;/sup&gt;", "plainTextFormattedCitation" : "69", "previouslyFormattedCitation" : "&lt;sup&gt;69&lt;/sup&gt;" }, "properties" : { "noteIndex" : 0 }, "schema" : "https://github.com/citation-style-language/schema/raw/master/csl-citation.json" }</w:instrText>
      </w:r>
      <w:r w:rsidRPr="006C2258">
        <w:rPr>
          <w:rStyle w:val="Apice1"/>
        </w:rPr>
        <w:fldChar w:fldCharType="separate"/>
      </w:r>
      <w:r w:rsidRPr="006C2258">
        <w:rPr>
          <w:rStyle w:val="Apice1"/>
          <w:noProof/>
        </w:rPr>
        <w:t>69</w:t>
      </w:r>
      <w:r w:rsidRPr="006C2258">
        <w:rPr>
          <w:rStyle w:val="Apice1"/>
        </w:rPr>
        <w:fldChar w:fldCharType="end"/>
      </w:r>
    </w:p>
    <w:p w:rsidR="00BD0D01" w:rsidRPr="00010F69" w:rsidRDefault="00BD0D01" w:rsidP="00BD0D01">
      <w:pPr>
        <w:spacing w:line="360" w:lineRule="auto"/>
        <w:ind w:left="1134"/>
        <w:jc w:val="both"/>
        <w:rPr>
          <w:rFonts w:ascii="Times New Roman" w:eastAsia="Times New Roman" w:hAnsi="Times New Roman" w:cs="Times New Roman"/>
        </w:rPr>
      </w:pPr>
      <w:r w:rsidRPr="00010F69">
        <w:rPr>
          <w:rFonts w:ascii="Times New Roman" w:hAnsi="Times New Roman" w:cs="Times New Roman"/>
        </w:rPr>
        <w:t>La revisione contribuì ad una acquisizione ancor più precoce della diagnosi di SM, riducendo l’intervallo di tempo tra i 2 controlli di RMN necessari a soddisfare il criterio di dissemin</w:t>
      </w:r>
      <w:r>
        <w:rPr>
          <w:rFonts w:ascii="Times New Roman" w:hAnsi="Times New Roman" w:cs="Times New Roman"/>
        </w:rPr>
        <w:t xml:space="preserve">azione temporale della malattia. Bastava una sola RMN eseguita in un qualsiasi momento successivo, al patto che la scan “basale” fosse stata eseguita almeno 30 giorni dopo l’esordio. </w:t>
      </w:r>
      <w:r w:rsidRPr="00010F69">
        <w:rPr>
          <w:rFonts w:ascii="Times New Roman" w:hAnsi="Times New Roman" w:cs="Times New Roman"/>
        </w:rPr>
        <w:t xml:space="preserve">Servì inoltre a chiarire il ruolo diagnostico della RMN spinale. Negli originali criteri di McDonald, la dimostrazione della presenza di una lesione spinale </w:t>
      </w:r>
      <w:r w:rsidRPr="00010F69">
        <w:rPr>
          <w:rFonts w:ascii="Times New Roman" w:hAnsi="Times New Roman" w:cs="Times New Roman"/>
        </w:rPr>
        <w:lastRenderedPageBreak/>
        <w:t>veniva indicata come totalmente equivalente ad una lesione cerebrale nella dimostrazione della disseminazione della patologia. Nella revisione invece, per dimostrare la disseminazione nello spazio, una lesione spinale alla RMN risulta</w:t>
      </w:r>
      <w:r>
        <w:rPr>
          <w:rFonts w:ascii="Times New Roman" w:hAnsi="Times New Roman" w:cs="Times New Roman"/>
        </w:rPr>
        <w:t>va</w:t>
      </w:r>
      <w:r w:rsidRPr="00010F69">
        <w:rPr>
          <w:rFonts w:ascii="Times New Roman" w:hAnsi="Times New Roman" w:cs="Times New Roman"/>
        </w:rPr>
        <w:t xml:space="preserve"> equivalente</w:t>
      </w:r>
      <w:r>
        <w:rPr>
          <w:rFonts w:ascii="Times New Roman" w:hAnsi="Times New Roman" w:cs="Times New Roman"/>
        </w:rPr>
        <w:t>,</w:t>
      </w:r>
      <w:r w:rsidRPr="00010F69">
        <w:rPr>
          <w:rFonts w:ascii="Times New Roman" w:hAnsi="Times New Roman" w:cs="Times New Roman"/>
        </w:rPr>
        <w:t xml:space="preserve"> e p</w:t>
      </w:r>
      <w:r>
        <w:rPr>
          <w:rFonts w:ascii="Times New Roman" w:hAnsi="Times New Roman" w:cs="Times New Roman"/>
        </w:rPr>
        <w:t>oteva</w:t>
      </w:r>
      <w:r w:rsidRPr="00010F69">
        <w:rPr>
          <w:rFonts w:ascii="Times New Roman" w:hAnsi="Times New Roman" w:cs="Times New Roman"/>
        </w:rPr>
        <w:t xml:space="preserve"> essere sostituita nei criteri di Barkhof</w:t>
      </w:r>
      <w:r>
        <w:rPr>
          <w:rFonts w:ascii="Times New Roman" w:hAnsi="Times New Roman" w:cs="Times New Roman"/>
        </w:rPr>
        <w:t>,</w:t>
      </w:r>
      <w:r w:rsidRPr="00010F69">
        <w:rPr>
          <w:rFonts w:ascii="Times New Roman" w:hAnsi="Times New Roman" w:cs="Times New Roman"/>
        </w:rPr>
        <w:t xml:space="preserve"> ad una lesione infratentoriale ma non </w:t>
      </w:r>
      <w:r>
        <w:rPr>
          <w:rFonts w:ascii="Times New Roman" w:hAnsi="Times New Roman" w:cs="Times New Roman"/>
        </w:rPr>
        <w:t>ad</w:t>
      </w:r>
      <w:r w:rsidRPr="00010F69">
        <w:rPr>
          <w:rFonts w:ascii="Times New Roman" w:hAnsi="Times New Roman" w:cs="Times New Roman"/>
        </w:rPr>
        <w:t xml:space="preserve"> una periventricolare o </w:t>
      </w:r>
      <w:r>
        <w:rPr>
          <w:rFonts w:ascii="Times New Roman" w:hAnsi="Times New Roman" w:cs="Times New Roman"/>
        </w:rPr>
        <w:t>i</w:t>
      </w:r>
      <w:r w:rsidRPr="00010F69">
        <w:rPr>
          <w:rFonts w:ascii="Times New Roman" w:hAnsi="Times New Roman" w:cs="Times New Roman"/>
        </w:rPr>
        <w:t xml:space="preserve">uxtacorticale. In aggiunta, una lesione spinale captante </w:t>
      </w:r>
      <w:r>
        <w:rPr>
          <w:rFonts w:ascii="Times New Roman" w:hAnsi="Times New Roman" w:cs="Times New Roman"/>
        </w:rPr>
        <w:t>era</w:t>
      </w:r>
      <w:r w:rsidRPr="00010F69">
        <w:rPr>
          <w:rFonts w:ascii="Times New Roman" w:hAnsi="Times New Roman" w:cs="Times New Roman"/>
        </w:rPr>
        <w:t xml:space="preserve"> equivalente ad una lesione cerebrale captante e p</w:t>
      </w:r>
      <w:r>
        <w:rPr>
          <w:rFonts w:ascii="Times New Roman" w:hAnsi="Times New Roman" w:cs="Times New Roman"/>
        </w:rPr>
        <w:t>oteva</w:t>
      </w:r>
      <w:r w:rsidRPr="00010F69">
        <w:rPr>
          <w:rFonts w:ascii="Times New Roman" w:hAnsi="Times New Roman" w:cs="Times New Roman"/>
        </w:rPr>
        <w:t xml:space="preserve"> contare doppiamente nel compimento dei criteri (ad esempio contare sia come captante che come infratentoriale, o contribuire al numero di 9 lesioni T2 richieste dai criteri neuroradiologici). L’ultima modifica fu a carico della diagnosi per pazienti con forma primariamente progressiva che indicava la necessità della dimostrazione di un anno di progressione di malattia determinato retrospettivamente o prospettivamente.</w:t>
      </w: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Due anni dopo, con l’intento di una maggiore anticipazione e semplificazione della diagnosi, furono pubblicati i criteri di Swanton, che si occuparono nuovamente di ridefinire il ruolo della RM</w:t>
      </w:r>
      <w:r>
        <w:rPr>
          <w:rFonts w:ascii="Times New Roman" w:hAnsi="Times New Roman" w:cs="Times New Roman"/>
        </w:rPr>
        <w:t>N</w:t>
      </w:r>
      <w:r w:rsidRPr="00010F69">
        <w:rPr>
          <w:rFonts w:ascii="Times New Roman" w:hAnsi="Times New Roman" w:cs="Times New Roman"/>
        </w:rPr>
        <w:t xml:space="preserve"> nella diagnosi di sclerosi multipla. </w:t>
      </w:r>
      <w:r w:rsidRPr="00010F69">
        <w:rPr>
          <w:rFonts w:ascii="Times New Roman" w:hAnsi="Times New Roman" w:cs="Times New Roman"/>
        </w:rPr>
        <w:br/>
        <w:t xml:space="preserve">In questa revisione dei criteri si rendevano pertanto necessarie una o più lesioni in almeno due o più delle quattro regioni caratteristiche per dimostrare la disseminazione nello spazio, e una nuova lesione T2 nel </w:t>
      </w:r>
      <w:r>
        <w:rPr>
          <w:rFonts w:ascii="Times New Roman" w:hAnsi="Times New Roman" w:cs="Times New Roman"/>
        </w:rPr>
        <w:t>follow-up</w:t>
      </w:r>
      <w:r w:rsidRPr="00010F69">
        <w:rPr>
          <w:rFonts w:ascii="Times New Roman" w:hAnsi="Times New Roman" w:cs="Times New Roman"/>
        </w:rPr>
        <w:t xml:space="preserve"> alla risonanza, senza considerare il timing del primo scan. Perciò venivano richiesti in ogni caso minimo due esami RM</w:t>
      </w:r>
      <w:r>
        <w:rPr>
          <w:rFonts w:ascii="Times New Roman" w:hAnsi="Times New Roman" w:cs="Times New Roman"/>
        </w:rPr>
        <w:t>N</w:t>
      </w:r>
      <w:r w:rsidRPr="00010F69">
        <w:rPr>
          <w:rFonts w:ascii="Times New Roman" w:hAnsi="Times New Roman" w:cs="Times New Roman"/>
        </w:rPr>
        <w:t xml:space="preserve">. </w:t>
      </w:r>
      <w:r w:rsidRPr="006C2258">
        <w:rPr>
          <w:rStyle w:val="Apice1"/>
        </w:rPr>
        <w:fldChar w:fldCharType="begin" w:fldLock="1"/>
      </w:r>
      <w:r w:rsidRPr="006C2258">
        <w:rPr>
          <w:rStyle w:val="Apice1"/>
        </w:rPr>
        <w:instrText>ADDIN CSL_CITATION { "citationItems" : [ { "id" : "ITEM-1", "itemData" : { "DOI" : "10.1016/S1474-4422(07)70176-X", "ISBN" : "1474-4422 (Print)", "ISSN" : "14744422", "PMID" : "17616439", "abstract" : "Background: The 2001 and 2005 McDonald criteria allow MRI evidence for dissemination in space (DIS) and dissemination in time (DIT) to be used to diagnose multiple sclerosis in patients who present with clinically isolated syndromes (CIS). In 2006, new criteria were proposed in which DIS requires at least one T2 lesion in at least two of four locations (juxtacortical, periventricular, infratentorial, and spinal-cord) and DIT requires a new T2 lesion on a follow-up scan. We applied all three criteria in a large cohort of CIS patients to assess their performance by use of conversion to clinically definite multiple sclerosis (CDMS) as the outcome. Methods: Patients who had two MRI scans within 12 months of CIS onset were identified in four centres in the Magnims European research network. The specificity and sensitivity of MRI criteria for CDMS after 3 years was assessed in 208 patients. A Cox proportional hazards model was applied in a larger cohort of 282 patients that included all patients irrespective of length of follow-up. Findings: The specificity of all criteria for CDMS was high (2001 McDonald, 91%; 2005 McDonald, 88%; new, 87%). Sensitivity of the new (72%) and 2005 McDonald (60%) criteria were higher than the 2001 McDonald criteria (47%). The Cox proportional hazards model showed a higher conversion risk for all three criteria in those with both DIS and DIT than those with either DIS or DIT alone. When all three criteria were included in the model, only the new criteria had an independent significant effect on conversion risk. Interpretation: The new criteria are simpler than the McDonald criteria without compromising specificity and accuracy. The presence of both DIS and DIT from two MRI scans has a higher specificity and risk for CDMS than either DIS or DIT alone. \u00a9 2007 Elsevier Ltd. All rights reserved.", "author" : [ { "dropping-particle" : "", "family" : "Swanton", "given" : "Josephine K.", "non-dropping-particle" : "", "parse-names" : false, "suffix" : "" }, { "dropping-particle" : "", "family" : "Rovira", "given" : "Alex", "non-dropping-particle" : "", "parse-names" : false, "suffix" : "" }, { "dropping-particle" : "", "family" : "Tintore", "given" : "Mar", "non-dropping-particle" : "", "parse-names" : false, "suffix" : "" }, { "dropping-particle" : "", "family" : "Altmann", "given" : "Daniel R.", "non-dropping-particle" : "", "parse-names" : false, "suffix" : "" }, { "dropping-particle" : "", "family" : "Barkhof", "given" : "Frederik", "non-dropping-particle" : "", "parse-names" : false, "suffix" : "" }, { "dropping-particle" : "", "family" : "Filippi", "given" : "Massimo", "non-dropping-particle" : "", "parse-names" : false, "suffix" : "" }, { "dropping-particle" : "", "family" : "Huerga", "given" : "Elena", "non-dropping-particle" : "", "parse-names" : false, "suffix" : "" }, { "dropping-particle" : "", "family" : "Miszkiel", "given" : "Katherine A.", "non-dropping-particle" : "", "parse-names" : false, "suffix" : "" }, { "dropping-particle" : "", "family" : "Plant", "given" : "Gordon T.", "non-dropping-particle" : "", "parse-names" : false, "suffix" : "" }, { "dropping-particle" : "", "family" : "Polman", "given" : "Chris", "non-dropping-particle" : "", "parse-names" : false, "suffix" : "" }, { "dropping-particle" : "", "family" : "Rovaris", "given" : "Marco", "non-dropping-particle" : "", "parse-names" : false, "suffix" : "" }, { "dropping-particle" : "", "family" : "Thompson", "given" : "Alan J.", "non-dropping-particle" : "", "parse-names" : false, "suffix" : "" }, { "dropping-particle" : "", "family" : "Montalban", "given" : "Xavier", "non-dropping-particle" : "", "parse-names" : false, "suffix" : "" }, { "dropping-particle" : "", "family" : "Miller", "given" : "David H.", "non-dropping-particle" : "", "parse-names" : false, "suffix" : "" } ], "container-title" : "Lancet Neurology", "id" : "ITEM-1", "issue" : "8", "issued" : { "date-parts" : [ [ "2007" ] ] }, "page" : "677-686", "title" : "MRI criteria for multiple sclerosis in patients presenting with clinically isolated syndromes: a multicentre retrospective study", "type" : "article-journal", "volume" : "6" }, "uris" : [ "http://www.mendeley.com/documents/?uuid=39cd1abb-90bf-4c54-95f2-f988a59c1356" ] } ], "mendeley" : { "formattedCitation" : "&lt;sup&gt;70&lt;/sup&gt;", "plainTextFormattedCitation" : "70", "previouslyFormattedCitation" : "&lt;sup&gt;70&lt;/sup&gt;" }, "properties" : { "noteIndex" : 0 }, "schema" : "https://github.com/citation-style-language/schema/raw/master/csl-citation.json" }</w:instrText>
      </w:r>
      <w:r w:rsidRPr="006C2258">
        <w:rPr>
          <w:rStyle w:val="Apice1"/>
        </w:rPr>
        <w:fldChar w:fldCharType="separate"/>
      </w:r>
      <w:r w:rsidRPr="006C2258">
        <w:rPr>
          <w:rStyle w:val="Apice1"/>
          <w:noProof/>
        </w:rPr>
        <w:t>70</w:t>
      </w:r>
      <w:r w:rsidRPr="006C2258">
        <w:rPr>
          <w:rStyle w:val="Apice1"/>
        </w:rPr>
        <w:fldChar w:fldCharType="end"/>
      </w:r>
      <w:r>
        <w:rPr>
          <w:rFonts w:ascii="Times New Roman" w:hAnsi="Times New Roman" w:cs="Times New Roman"/>
        </w:rPr>
        <w:t xml:space="preserve"> (Tabella III)</w:t>
      </w: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Default="00BD0D01" w:rsidP="00BD0D01">
      <w:pPr>
        <w:pStyle w:val="Didascalia"/>
        <w:keepNext/>
        <w:ind w:left="1134"/>
        <w:jc w:val="both"/>
      </w:pPr>
      <w:r>
        <w:t xml:space="preserve">Tabella </w:t>
      </w:r>
      <w:r>
        <w:rPr>
          <w:noProof/>
        </w:rPr>
        <w:fldChar w:fldCharType="begin"/>
      </w:r>
      <w:r>
        <w:rPr>
          <w:noProof/>
        </w:rPr>
        <w:instrText xml:space="preserve"> SEQ Tabella \* ROMAN </w:instrText>
      </w:r>
      <w:r>
        <w:rPr>
          <w:noProof/>
        </w:rPr>
        <w:fldChar w:fldCharType="separate"/>
      </w:r>
      <w:r>
        <w:rPr>
          <w:noProof/>
        </w:rPr>
        <w:t>III</w:t>
      </w:r>
      <w:r>
        <w:rPr>
          <w:noProof/>
        </w:rPr>
        <w:fldChar w:fldCharType="end"/>
      </w:r>
      <w:r>
        <w:t>: Criteri di disseminazione spaziale e temporale di Swanton 2007.</w:t>
      </w:r>
      <w:r w:rsidRPr="006C2258">
        <w:rPr>
          <w:rStyle w:val="Apice1"/>
        </w:rPr>
        <w:fldChar w:fldCharType="begin" w:fldLock="1"/>
      </w:r>
      <w:r w:rsidRPr="006C2258">
        <w:rPr>
          <w:rStyle w:val="Apice1"/>
        </w:rPr>
        <w:instrText>ADDIN CSL_CITATION { "citationItems" : [ { "id" : "ITEM-1", "itemData" : { "DOI" : "10.1016/S1474-4422(07)70176-X", "ISBN" : "1474-4422 (Print)", "ISSN" : "14744422", "PMID" : "17616439", "abstract" : "Background: The 2001 and 2005 McDonald criteria allow MRI evidence for dissemination in space (DIS) and dissemination in time (DIT) to be used to diagnose multiple sclerosis in patients who present with clinically isolated syndromes (CIS). In 2006, new criteria were proposed in which DIS requires at least one T2 lesion in at least two of four locations (juxtacortical, periventricular, infratentorial, and spinal-cord) and DIT requires a new T2 lesion on a follow-up scan. We applied all three criteria in a large cohort of CIS patients to assess their performance by use of conversion to clinically definite multiple sclerosis (CDMS) as the outcome. Methods: Patients who had two MRI scans within 12 months of CIS onset were identified in four centres in the Magnims European research network. The specificity and sensitivity of MRI criteria for CDMS after 3 years was assessed in 208 patients. A Cox proportional hazards model was applied in a larger cohort of 282 patients that included all patients irrespective of length of follow-up. Findings: The specificity of all criteria for CDMS was high (2001 McDonald, 91%; 2005 McDonald, 88%; new, 87%). Sensitivity of the new (72%) and 2005 McDonald (60%) criteria were higher than the 2001 McDonald criteria (47%). The Cox proportional hazards model showed a higher conversion risk for all three criteria in those with both DIS and DIT than those with either DIS or DIT alone. When all three criteria were included in the model, only the new criteria had an independent significant effect on conversion risk. Interpretation: The new criteria are simpler than the McDonald criteria without compromising specificity and accuracy. The presence of both DIS and DIT from two MRI scans has a higher specificity and risk for CDMS than either DIS or DIT alone. \u00a9 2007 Elsevier Ltd. All rights reserved.", "author" : [ { "dropping-particle" : "", "family" : "Swanton", "given" : "Josephine K.", "non-dropping-particle" : "", "parse-names" : false, "suffix" : "" }, { "dropping-particle" : "", "family" : "Rovira", "given" : "Alex", "non-dropping-particle" : "", "parse-names" : false, "suffix" : "" }, { "dropping-particle" : "", "family" : "Tintore", "given" : "Mar", "non-dropping-particle" : "", "parse-names" : false, "suffix" : "" }, { "dropping-particle" : "", "family" : "Altmann", "given" : "Daniel R.", "non-dropping-particle" : "", "parse-names" : false, "suffix" : "" }, { "dropping-particle" : "", "family" : "Barkhof", "given" : "Frederik", "non-dropping-particle" : "", "parse-names" : false, "suffix" : "" }, { "dropping-particle" : "", "family" : "Filippi", "given" : "Massimo", "non-dropping-particle" : "", "parse-names" : false, "suffix" : "" }, { "dropping-particle" : "", "family" : "Huerga", "given" : "Elena", "non-dropping-particle" : "", "parse-names" : false, "suffix" : "" }, { "dropping-particle" : "", "family" : "Miszkiel", "given" : "Katherine A.", "non-dropping-particle" : "", "parse-names" : false, "suffix" : "" }, { "dropping-particle" : "", "family" : "Plant", "given" : "Gordon T.", "non-dropping-particle" : "", "parse-names" : false, "suffix" : "" }, { "dropping-particle" : "", "family" : "Polman", "given" : "Chris", "non-dropping-particle" : "", "parse-names" : false, "suffix" : "" }, { "dropping-particle" : "", "family" : "Rovaris", "given" : "Marco", "non-dropping-particle" : "", "parse-names" : false, "suffix" : "" }, { "dropping-particle" : "", "family" : "Thompson", "given" : "Alan J.", "non-dropping-particle" : "", "parse-names" : false, "suffix" : "" }, { "dropping-particle" : "", "family" : "Montalban", "given" : "Xavier", "non-dropping-particle" : "", "parse-names" : false, "suffix" : "" }, { "dropping-particle" : "", "family" : "Miller", "given" : "David H.", "non-dropping-particle" : "", "parse-names" : false, "suffix" : "" } ], "container-title" : "Lancet Neurology", "id" : "ITEM-1", "issue" : "8", "issued" : { "date-parts" : [ [ "2007" ] ] }, "page" : "677-686", "title" : "MRI criteria for multiple sclerosis in patients presenting with clinically isolated syndromes: a multicentre retrospective study", "type" : "article-journal", "volume" : "6" }, "uris" : [ "http://www.mendeley.com/documents/?uuid=39cd1abb-90bf-4c54-95f2-f988a59c1356" ] } ], "mendeley" : { "formattedCitation" : "&lt;sup&gt;70&lt;/sup&gt;", "plainTextFormattedCitation" : "70", "previouslyFormattedCitation" : "&lt;sup&gt;70&lt;/sup&gt;" }, "properties" : { "noteIndex" : 0 }, "schema" : "https://github.com/citation-style-language/schema/raw/master/csl-citation.json" }</w:instrText>
      </w:r>
      <w:r w:rsidRPr="006C2258">
        <w:rPr>
          <w:rStyle w:val="Apice1"/>
        </w:rPr>
        <w:fldChar w:fldCharType="separate"/>
      </w:r>
      <w:r w:rsidRPr="006C2258">
        <w:rPr>
          <w:rStyle w:val="Apice1"/>
          <w:noProof/>
        </w:rPr>
        <w:t>70</w:t>
      </w:r>
      <w:r w:rsidRPr="006C2258">
        <w:rPr>
          <w:rStyle w:val="Apice1"/>
        </w:rPr>
        <w:fldChar w:fldCharType="end"/>
      </w:r>
    </w:p>
    <w:tbl>
      <w:tblPr>
        <w:tblStyle w:val="Grigliatabella"/>
        <w:tblW w:w="7901" w:type="dxa"/>
        <w:tblInd w:w="1240" w:type="dxa"/>
        <w:tblLook w:val="04A0" w:firstRow="1" w:lastRow="0" w:firstColumn="1" w:lastColumn="0" w:noHBand="0" w:noVBand="1"/>
      </w:tblPr>
      <w:tblGrid>
        <w:gridCol w:w="4811"/>
        <w:gridCol w:w="3090"/>
      </w:tblGrid>
      <w:tr w:rsidR="00BD0D01" w:rsidRPr="00010F69" w:rsidTr="001C4876">
        <w:tc>
          <w:tcPr>
            <w:tcW w:w="4811" w:type="dxa"/>
          </w:tcPr>
          <w:p w:rsidR="00BD0D01" w:rsidRPr="00A55579" w:rsidRDefault="00BD0D01" w:rsidP="001C4876">
            <w:pPr>
              <w:jc w:val="both"/>
              <w:rPr>
                <w:rFonts w:ascii="Times New Roman" w:hAnsi="Times New Roman" w:cs="Times New Roman"/>
                <w:b/>
                <w:sz w:val="22"/>
                <w:szCs w:val="22"/>
              </w:rPr>
            </w:pPr>
            <w:r>
              <w:rPr>
                <w:rFonts w:ascii="Times New Roman" w:hAnsi="Times New Roman" w:cs="Times New Roman"/>
                <w:b/>
                <w:sz w:val="22"/>
                <w:szCs w:val="22"/>
              </w:rPr>
              <w:t>Criterio di disseminazione s</w:t>
            </w:r>
            <w:r w:rsidRPr="00A55579">
              <w:rPr>
                <w:rFonts w:ascii="Times New Roman" w:hAnsi="Times New Roman" w:cs="Times New Roman"/>
                <w:b/>
                <w:sz w:val="22"/>
                <w:szCs w:val="22"/>
              </w:rPr>
              <w:t>paziale</w:t>
            </w:r>
          </w:p>
        </w:tc>
        <w:tc>
          <w:tcPr>
            <w:tcW w:w="3090" w:type="dxa"/>
          </w:tcPr>
          <w:p w:rsidR="00BD0D01" w:rsidRPr="00A55579" w:rsidRDefault="00BD0D01" w:rsidP="001C4876">
            <w:pPr>
              <w:jc w:val="both"/>
              <w:rPr>
                <w:rFonts w:ascii="Times New Roman" w:hAnsi="Times New Roman" w:cs="Times New Roman"/>
                <w:b/>
                <w:sz w:val="22"/>
                <w:szCs w:val="22"/>
              </w:rPr>
            </w:pPr>
            <w:r>
              <w:rPr>
                <w:rFonts w:ascii="Times New Roman" w:hAnsi="Times New Roman" w:cs="Times New Roman"/>
                <w:b/>
                <w:sz w:val="22"/>
                <w:szCs w:val="22"/>
              </w:rPr>
              <w:t>Criterio di disseminazione t</w:t>
            </w:r>
            <w:r w:rsidRPr="00A55579">
              <w:rPr>
                <w:rFonts w:ascii="Times New Roman" w:hAnsi="Times New Roman" w:cs="Times New Roman"/>
                <w:b/>
                <w:sz w:val="22"/>
                <w:szCs w:val="22"/>
              </w:rPr>
              <w:t>emporale</w:t>
            </w:r>
          </w:p>
        </w:tc>
      </w:tr>
      <w:tr w:rsidR="00BD0D01" w:rsidRPr="00010F69" w:rsidTr="001C4876">
        <w:trPr>
          <w:trHeight w:val="251"/>
        </w:trPr>
        <w:tc>
          <w:tcPr>
            <w:tcW w:w="4811" w:type="dxa"/>
          </w:tcPr>
          <w:p w:rsidR="00BD0D01" w:rsidRPr="00105486" w:rsidRDefault="00BD0D01" w:rsidP="001C4876">
            <w:pPr>
              <w:widowControl w:val="0"/>
              <w:autoSpaceDE w:val="0"/>
              <w:autoSpaceDN w:val="0"/>
              <w:adjustRightInd w:val="0"/>
              <w:spacing w:after="240" w:line="200" w:lineRule="atLeast"/>
              <w:jc w:val="both"/>
              <w:rPr>
                <w:rFonts w:ascii="Times New Roman" w:hAnsi="Times New Roman" w:cs="Times New Roman"/>
                <w:color w:val="1A1718"/>
                <w:sz w:val="22"/>
                <w:szCs w:val="22"/>
              </w:rPr>
            </w:pPr>
            <w:r w:rsidRPr="00010F69">
              <w:rPr>
                <w:rFonts w:ascii="Times New Roman" w:hAnsi="Times New Roman" w:cs="Times New Roman"/>
                <w:color w:val="1A1718"/>
                <w:sz w:val="22"/>
                <w:szCs w:val="22"/>
              </w:rPr>
              <w:t>≥1 lesione in ≥2 delle sedi caratteristiche: periventricolare, iuxtacorticale, infratentoriali, midollo spinale.</w:t>
            </w:r>
            <w:r>
              <w:rPr>
                <w:rFonts w:ascii="Times New Roman" w:hAnsi="Times New Roman" w:cs="Times New Roman"/>
                <w:color w:val="1A1718"/>
                <w:sz w:val="22"/>
                <w:szCs w:val="22"/>
              </w:rPr>
              <w:t xml:space="preserve"> </w:t>
            </w:r>
            <w:r w:rsidRPr="00010F69">
              <w:rPr>
                <w:rFonts w:ascii="Times New Roman" w:hAnsi="Times New Roman" w:cs="Times New Roman"/>
                <w:color w:val="1A1718"/>
                <w:sz w:val="22"/>
                <w:szCs w:val="22"/>
              </w:rPr>
              <w:t xml:space="preserve">Tutte le lesioni nelle regioni sintomatiche escluse </w:t>
            </w:r>
            <w:r>
              <w:rPr>
                <w:rFonts w:ascii="Times New Roman" w:hAnsi="Times New Roman" w:cs="Times New Roman"/>
                <w:color w:val="1A1718"/>
                <w:sz w:val="22"/>
                <w:szCs w:val="22"/>
              </w:rPr>
              <w:t xml:space="preserve">nelle </w:t>
            </w:r>
            <w:r w:rsidRPr="00010F69">
              <w:rPr>
                <w:rFonts w:ascii="Times New Roman" w:hAnsi="Times New Roman" w:cs="Times New Roman"/>
                <w:color w:val="1A1718"/>
                <w:sz w:val="22"/>
                <w:szCs w:val="22"/>
              </w:rPr>
              <w:t>sindromi del tronco encefalico o del midollo spinale</w:t>
            </w:r>
            <w:r>
              <w:rPr>
                <w:rFonts w:ascii="Times New Roman" w:hAnsi="Times New Roman" w:cs="Times New Roman"/>
                <w:color w:val="1A1718"/>
                <w:sz w:val="22"/>
                <w:szCs w:val="22"/>
              </w:rPr>
              <w:t>.</w:t>
            </w:r>
            <w:r w:rsidRPr="00010F69">
              <w:rPr>
                <w:rFonts w:ascii="Times New Roman" w:hAnsi="Times New Roman" w:cs="Times New Roman"/>
                <w:color w:val="1A1718"/>
                <w:sz w:val="22"/>
                <w:szCs w:val="22"/>
              </w:rPr>
              <w:t xml:space="preserve"> </w:t>
            </w:r>
          </w:p>
        </w:tc>
        <w:tc>
          <w:tcPr>
            <w:tcW w:w="3090" w:type="dxa"/>
          </w:tcPr>
          <w:p w:rsidR="00BD0D01" w:rsidRPr="00010F69" w:rsidRDefault="00BD0D01" w:rsidP="001C4876">
            <w:pPr>
              <w:widowControl w:val="0"/>
              <w:autoSpaceDE w:val="0"/>
              <w:autoSpaceDN w:val="0"/>
              <w:adjustRightInd w:val="0"/>
              <w:spacing w:after="240" w:line="200" w:lineRule="atLeast"/>
              <w:jc w:val="both"/>
              <w:rPr>
                <w:rFonts w:ascii="Times New Roman" w:hAnsi="Times New Roman" w:cs="Times New Roman"/>
                <w:color w:val="000000"/>
                <w:sz w:val="22"/>
                <w:szCs w:val="22"/>
              </w:rPr>
            </w:pPr>
            <w:r w:rsidRPr="00010F69">
              <w:rPr>
                <w:rFonts w:ascii="Times New Roman" w:hAnsi="Times New Roman" w:cs="Times New Roman"/>
                <w:color w:val="1A1718"/>
                <w:sz w:val="22"/>
                <w:szCs w:val="22"/>
              </w:rPr>
              <w:t>Una nuova lesione T2 al follow-up senza considerare il timing della scan precedente</w:t>
            </w:r>
            <w:r>
              <w:rPr>
                <w:rFonts w:ascii="Times New Roman" w:hAnsi="Times New Roman" w:cs="Times New Roman"/>
                <w:color w:val="1A1718"/>
                <w:sz w:val="22"/>
                <w:szCs w:val="22"/>
              </w:rPr>
              <w:t>.</w:t>
            </w:r>
            <w:r w:rsidRPr="00010F69">
              <w:rPr>
                <w:rFonts w:ascii="Times New Roman" w:hAnsi="Times New Roman" w:cs="Times New Roman"/>
                <w:color w:val="1A1718"/>
                <w:sz w:val="22"/>
                <w:szCs w:val="22"/>
              </w:rPr>
              <w:t xml:space="preserve"> </w:t>
            </w:r>
          </w:p>
          <w:p w:rsidR="00BD0D01" w:rsidRPr="00010F69" w:rsidRDefault="00BD0D01" w:rsidP="001C4876">
            <w:pPr>
              <w:jc w:val="both"/>
              <w:rPr>
                <w:rFonts w:ascii="Times New Roman" w:hAnsi="Times New Roman" w:cs="Times New Roman"/>
              </w:rPr>
            </w:pPr>
          </w:p>
        </w:tc>
      </w:tr>
    </w:tbl>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Default="00BD0D01" w:rsidP="00BD0D01">
      <w:pPr>
        <w:widowControl w:val="0"/>
        <w:autoSpaceDE w:val="0"/>
        <w:autoSpaceDN w:val="0"/>
        <w:adjustRightInd w:val="0"/>
        <w:spacing w:line="360" w:lineRule="auto"/>
        <w:ind w:left="1134" w:right="142"/>
        <w:jc w:val="both"/>
        <w:rPr>
          <w:rFonts w:ascii="Times New Roman" w:hAnsi="Times New Roman" w:cs="Times New Roman"/>
        </w:rPr>
      </w:pPr>
      <w:r w:rsidRPr="00010F69">
        <w:rPr>
          <w:rFonts w:ascii="Times New Roman" w:hAnsi="Times New Roman" w:cs="Times New Roman"/>
        </w:rPr>
        <w:t>L’ultima e più attuale revisione dei criteri diagnostici di McDonald è stata</w:t>
      </w:r>
      <w:r>
        <w:rPr>
          <w:rFonts w:ascii="Times New Roman" w:hAnsi="Times New Roman" w:cs="Times New Roman"/>
        </w:rPr>
        <w:t xml:space="preserve"> pubblicata</w:t>
      </w:r>
      <w:r w:rsidRPr="00010F69">
        <w:rPr>
          <w:rFonts w:ascii="Times New Roman" w:hAnsi="Times New Roman" w:cs="Times New Roman"/>
        </w:rPr>
        <w:t xml:space="preserve"> nel 2010. La revisione fu effettuata per consentire una diagnosi ancora più rapida con equivalente o miglior specificità e sensibilità. </w:t>
      </w:r>
      <w:r>
        <w:rPr>
          <w:rFonts w:ascii="Times New Roman" w:hAnsi="Times New Roman" w:cs="Times New Roman"/>
        </w:rPr>
        <w:br/>
      </w:r>
      <w:r w:rsidRPr="00010F69">
        <w:rPr>
          <w:rFonts w:ascii="Times New Roman" w:hAnsi="Times New Roman" w:cs="Times New Roman"/>
        </w:rPr>
        <w:lastRenderedPageBreak/>
        <w:t xml:space="preserve">Questa nuova revisione ha portato nella pratica clinica </w:t>
      </w:r>
      <w:r>
        <w:rPr>
          <w:rFonts w:ascii="Times New Roman" w:hAnsi="Times New Roman" w:cs="Times New Roman"/>
        </w:rPr>
        <w:t xml:space="preserve">ad </w:t>
      </w:r>
      <w:r w:rsidRPr="00010F69">
        <w:rPr>
          <w:rFonts w:ascii="Times New Roman" w:hAnsi="Times New Roman" w:cs="Times New Roman"/>
        </w:rPr>
        <w:t>un processo di semplificazione e chiarificazione, con un minor numero di indagini all’RM</w:t>
      </w:r>
      <w:r>
        <w:rPr>
          <w:rFonts w:ascii="Times New Roman" w:hAnsi="Times New Roman" w:cs="Times New Roman"/>
        </w:rPr>
        <w:t>N</w:t>
      </w:r>
      <w:r w:rsidRPr="00010F69">
        <w:rPr>
          <w:rFonts w:ascii="Times New Roman" w:hAnsi="Times New Roman" w:cs="Times New Roman"/>
        </w:rPr>
        <w:t xml:space="preserve"> richieste dai criteri, in quanto può bastare ora la simultanea presenza di lesioni captanti e non captanti gadolinio nella stessa scan per soddisfare il criterio di disseminazione temporale.</w:t>
      </w:r>
      <w:r w:rsidRPr="00010F69">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"10.1002/ana.22366", "ISBN" : "1531-8249 (Electronic)\\r0364-5134 (Linking)", "ISSN" : "03645134", "PMID" : "21387374", "abstract" : "New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 "author" : [ { "dropping-particle" : "", "family" : "Polman", "given" : "Chris H.", "non-dropping-particle" : "", "parse-names" : false, "suffix" : "" }, { "dropping-particle" : "", "family" : "Reingold", "given" : "Stephen C.", "non-dropping-particle" : "", "parse-names" : false, "suffix" : "" }, { "dropping-particle" : "", "family" : "Banwell", "given" : "Brenda", "non-dropping-particle" : "", "parse-names" : false, "suffix" : "" }, { "dropping-particle" : "", "family" : "Clanet", "given" : "Michel", "non-dropping-particle" : "", "parse-names" : false, "suffix" : "" }, { "dropping-particle" : "", "family" : "Cohen", "given" : "Jeffrey A.", "non-dropping-particle" : "", "parse-names" : false, "suffix" : "" }, { "dropping-particle" : "", "family" : "Filippi", "given" : "Massimo", "non-dropping-particle" : "", "parse-names" : false, "suffix" : "" }, { "dropping-particle" : "", "family" : "Fujihara", "given" : "Kazuo", "non-dropping-particle" : "", "parse-names" : false, "suffix" : "" }, { "dropping-particle" : "", "family" : "Havrdova", "given" : "Eva", "non-dropping-particle" : "", "parse-names" : false, "suffix" : "" }, { "dropping-particle" : "", "family" : "Hutchinson", "given" : "Michael", "non-dropping-particle" : "", "parse-names" : false, "suffix" : "" }, { "dropping-particle" : "", "family" : "Kappos", "given" : "Ludwig", "non-dropping-particle" : "", "parse-names" : false, "suffix" : "" }, { "dropping-particle" : "", "family" : "Lublin", "given" : "Fred D.", "non-dropping-particle" : "", "parse-names" : false, "suffix" : "" }, { "dropping-particle" : "", "family" : "Montalban", "given" : "Xavier", "non-dropping-particle" : "", "parse-names" : false, "suffix" : "" }, { "dropping-particle" : "", "family" : "O'Connor", "given" : "Paul",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"Waubant", "given" : "Emmanuelle", "non-dropping-particle" : "", "parse-names" : false, "suffix" : "" }, { "dropping-particle" : "", "family" : "Weinshenker", "given" : "Brian", "non-dropping-particle" : "", "parse-names" : false, "suffix" : "" }, { "dropping-particle" : "", "family" : "Wolinsky", "given" : "Jerry S.", "non-dropping-particle" : "", "parse-names" : false, "suffix" : "" } ], "container-title" : "Annals of Neurology", "id" : "ITEM-1", "issue" : "2", "issued" : { "date-parts" : [ [ "2011" ] ] }, "page" : "292-302", "title" : "Diagnostic criteria for multiple sclerosis: 2010 Revisions to the McDonald criteria", "type" : "article-journal", "volume" : "69" }, "uris" : [ "http://www.mendeley.com/documents/?uuid=8916d071-cd20-477b-8acf-ecdf9a2bd8dd" ] } ], "mendeley" : { "formattedCitation" : "&lt;sup&gt;71&lt;/sup&gt;", "plainTextFormattedCitation" : "71", "previouslyFormattedCitation" : "&lt;sup&gt;71&lt;/sup&gt;" }, "properties" : { "noteIndex" : 0 }, "schema" : "https://github.com/citation-style-language/schema/raw/master/csl-citation.json" }</w:instrText>
      </w:r>
      <w:r w:rsidRPr="00010F69">
        <w:rPr>
          <w:rFonts w:ascii="Times New Roman" w:hAnsi="Times New Roman" w:cs="Times New Roman"/>
        </w:rPr>
        <w:fldChar w:fldCharType="separate"/>
      </w:r>
      <w:r w:rsidRPr="00346627">
        <w:rPr>
          <w:rFonts w:ascii="Times New Roman" w:hAnsi="Times New Roman" w:cs="Times New Roman"/>
          <w:noProof/>
          <w:vertAlign w:val="superscript"/>
        </w:rPr>
        <w:t>71</w:t>
      </w:r>
      <w:r w:rsidRPr="00010F69">
        <w:rPr>
          <w:rFonts w:ascii="Times New Roman" w:hAnsi="Times New Roman" w:cs="Times New Roman"/>
        </w:rPr>
        <w:fldChar w:fldCharType="end"/>
      </w:r>
      <w:r w:rsidRPr="00010F69">
        <w:rPr>
          <w:rFonts w:ascii="Times New Roman" w:hAnsi="Times New Roman" w:cs="Times New Roman"/>
        </w:rPr>
        <w:t xml:space="preserve"> </w:t>
      </w:r>
    </w:p>
    <w:p w:rsidR="00BD0D01" w:rsidRPr="00010F69" w:rsidRDefault="00BD0D01" w:rsidP="00BD0D01">
      <w:pPr>
        <w:widowControl w:val="0"/>
        <w:autoSpaceDE w:val="0"/>
        <w:autoSpaceDN w:val="0"/>
        <w:adjustRightInd w:val="0"/>
        <w:spacing w:line="360" w:lineRule="auto"/>
        <w:ind w:left="1134" w:right="142"/>
        <w:jc w:val="both"/>
        <w:rPr>
          <w:rFonts w:ascii="Times New Roman" w:hAnsi="Times New Roman" w:cs="Times New Roman"/>
        </w:rPr>
      </w:pPr>
      <w:r>
        <w:rPr>
          <w:rFonts w:ascii="Times New Roman" w:hAnsi="Times New Roman" w:cs="Times New Roman"/>
        </w:rPr>
        <w:t>L’ultima revisione dei criteri di McDonald è riportata in tabella IV.</w:t>
      </w:r>
      <w:r>
        <w:rPr>
          <w:rFonts w:ascii="Times New Roman" w:hAnsi="Times New Roman" w:cs="Times New Roman"/>
        </w:rPr>
        <w:br/>
      </w:r>
      <w:r>
        <w:rPr>
          <w:rFonts w:ascii="Times New Roman" w:hAnsi="Times New Roman" w:cs="Times New Roman"/>
        </w:rPr>
        <w:br/>
      </w:r>
    </w:p>
    <w:p w:rsidR="00BD0D01" w:rsidRDefault="00BD0D01" w:rsidP="00BD0D01">
      <w:pPr>
        <w:pStyle w:val="Didascalia"/>
        <w:keepNext/>
        <w:ind w:left="1134"/>
        <w:jc w:val="both"/>
      </w:pPr>
      <w:r>
        <w:t xml:space="preserve">Tabella </w:t>
      </w:r>
      <w:r>
        <w:rPr>
          <w:noProof/>
        </w:rPr>
        <w:fldChar w:fldCharType="begin"/>
      </w:r>
      <w:r>
        <w:rPr>
          <w:noProof/>
        </w:rPr>
        <w:instrText xml:space="preserve"> SEQ Tabella \* ROMAN </w:instrText>
      </w:r>
      <w:r>
        <w:rPr>
          <w:noProof/>
        </w:rPr>
        <w:fldChar w:fldCharType="separate"/>
      </w:r>
      <w:r>
        <w:rPr>
          <w:noProof/>
        </w:rPr>
        <w:t>IV</w:t>
      </w:r>
      <w:r>
        <w:rPr>
          <w:noProof/>
        </w:rPr>
        <w:fldChar w:fldCharType="end"/>
      </w:r>
      <w:r>
        <w:t>: Criteri di McDonald 2010.</w:t>
      </w:r>
      <w:r>
        <w:fldChar w:fldCharType="begin" w:fldLock="1"/>
      </w:r>
      <w:r>
        <w:instrText>ADDIN CSL_CITATION { "citationItems" : [ { "id" : "ITEM-1", "itemData" : { "DOI" : "10.1002/ana.22366", "ISBN" : "1531-8249 (Electronic)\\r0364-5134 (Linking)", "ISSN" : "03645134", "PMID" : "21387374", "abstract" : "New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 "author" : [ { "dropping-particle" : "", "family" : "Polman", "given" : "Chris H.", "non-dropping-particle" : "", "parse-names" : false, "suffix" : "" }, { "dropping-particle" : "", "family" : "Reingold", "given" : "Stephen C.", "non-dropping-particle" : "", "parse-names" : false, "suffix" : "" }, { "dropping-particle" : "", "family" : "Banwell", "given" : "Brenda", "non-dropping-particle" : "", "parse-names" : false, "suffix" : "" }, { "dropping-particle" : "", "family" : "Clanet", "given" : "Michel", "non-dropping-particle" : "", "parse-names" : false, "suffix" : "" }, { "dropping-particle" : "", "family" : "Cohen", "given" : "Jeffrey A.", "non-dropping-particle" : "", "parse-names" : false, "suffix" : "" }, { "dropping-particle" : "", "family" : "Filippi", "given" : "Massimo", "non-dropping-particle" : "", "parse-names" : false, "suffix" : "" }, { "dropping-particle" : "", "family" : "Fujihara", "given" : "Kazuo", "non-dropping-particle" : "", "parse-names" : false, "suffix" : "" }, { "dropping-particle" : "", "family" : "Havrdova", "given" : "Eva", "non-dropping-particle" : "", "parse-names" : false, "suffix" : "" }, { "dropping-particle" : "", "family" : "Hutchinson", "given" : "Michael", "non-dropping-particle" : "", "parse-names" : false, "suffix" : "" }, { "dropping-particle" : "", "family" : "Kappos", "given" : "Ludwig", "non-dropping-particle" : "", "parse-names" : false, "suffix" : "" }, { "dropping-particle" : "", "family" : "Lublin", "given" : "Fred D.", "non-dropping-particle" : "", "parse-names" : false, "suffix" : "" }, { "dropping-particle" : "", "family" : "Montalban", "given" : "Xavier", "non-dropping-particle" : "", "parse-names" : false, "suffix" : "" }, { "dropping-particle" : "", "family" : "O'Connor", "given" : "Paul",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"Waubant", "given" : "Emmanuelle", "non-dropping-particle" : "", "parse-names" : false, "suffix" : "" }, { "dropping-particle" : "", "family" : "Weinshenker", "given" : "Brian", "non-dropping-particle" : "", "parse-names" : false, "suffix" : "" }, { "dropping-particle" : "", "family" : "Wolinsky", "given" : "Jerry S.", "non-dropping-particle" : "", "parse-names" : false, "suffix" : "" } ], "container-title" : "Annals of Neurology", "id" : "ITEM-1", "issue" : "2", "issued" : { "date-parts" : [ [ "2011" ] ] }, "page" : "292-302", "title" : "Diagnostic criteria for multiple sclerosis: 2010 Revisions to the McDonald criteria", "type" : "article-journal", "volume" : "69" }, "uris" : [ "http://www.mendeley.com/documents/?uuid=8916d071-cd20-477b-8acf-ecdf9a2bd8dd" ] } ], "mendeley" : { "formattedCitation" : "&lt;sup&gt;71&lt;/sup&gt;", "plainTextFormattedCitation" : "71", "previouslyFormattedCitation" : "&lt;sup&gt;71&lt;/sup&gt;" }, "properties" : { "noteIndex" : 0 }, "schema" : "https://github.com/citation-style-language/schema/raw/master/csl-citation.json" }</w:instrText>
      </w:r>
      <w:r>
        <w:fldChar w:fldCharType="separate"/>
      </w:r>
      <w:r w:rsidRPr="00346627">
        <w:rPr>
          <w:noProof/>
          <w:vertAlign w:val="superscript"/>
        </w:rPr>
        <w:t>71</w:t>
      </w:r>
      <w:r>
        <w:fldChar w:fldCharType="end"/>
      </w:r>
    </w:p>
    <w:tbl>
      <w:tblPr>
        <w:tblStyle w:val="Grigliatabella"/>
        <w:tblW w:w="7797" w:type="dxa"/>
        <w:tblInd w:w="1240" w:type="dxa"/>
        <w:tblLayout w:type="fixed"/>
        <w:tblLook w:val="04A0" w:firstRow="1" w:lastRow="0" w:firstColumn="1" w:lastColumn="0" w:noHBand="0" w:noVBand="1"/>
      </w:tblPr>
      <w:tblGrid>
        <w:gridCol w:w="3006"/>
        <w:gridCol w:w="4791"/>
      </w:tblGrid>
      <w:tr w:rsidR="00BD0D01" w:rsidRPr="00010F69" w:rsidTr="001C4876">
        <w:trPr>
          <w:trHeight w:val="251"/>
        </w:trPr>
        <w:tc>
          <w:tcPr>
            <w:tcW w:w="3006" w:type="dxa"/>
            <w:noWrap/>
            <w:hideMark/>
          </w:tcPr>
          <w:p w:rsidR="00BD0D01" w:rsidRPr="00010F69" w:rsidRDefault="00BD0D01" w:rsidP="001C4876">
            <w:pPr>
              <w:jc w:val="both"/>
              <w:rPr>
                <w:rFonts w:ascii="Times New Roman" w:hAnsi="Times New Roman" w:cs="Times New Roman"/>
                <w:b/>
                <w:bCs/>
                <w:sz w:val="22"/>
                <w:szCs w:val="22"/>
              </w:rPr>
            </w:pPr>
            <w:r>
              <w:rPr>
                <w:rFonts w:ascii="Times New Roman" w:hAnsi="Times New Roman" w:cs="Times New Roman"/>
                <w:b/>
                <w:bCs/>
                <w:sz w:val="22"/>
                <w:szCs w:val="22"/>
              </w:rPr>
              <w:t>Presentazione clinica</w:t>
            </w:r>
          </w:p>
        </w:tc>
        <w:tc>
          <w:tcPr>
            <w:tcW w:w="4791" w:type="dxa"/>
            <w:noWrap/>
            <w:hideMark/>
          </w:tcPr>
          <w:p w:rsidR="00BD0D01" w:rsidRPr="00010F69" w:rsidRDefault="00BD0D01" w:rsidP="001C4876">
            <w:pPr>
              <w:jc w:val="both"/>
              <w:rPr>
                <w:rFonts w:ascii="Times New Roman" w:hAnsi="Times New Roman" w:cs="Times New Roman"/>
                <w:b/>
                <w:bCs/>
                <w:sz w:val="22"/>
                <w:szCs w:val="22"/>
              </w:rPr>
            </w:pPr>
            <w:r>
              <w:rPr>
                <w:rFonts w:ascii="Times New Roman" w:hAnsi="Times New Roman" w:cs="Times New Roman"/>
                <w:b/>
                <w:bCs/>
                <w:sz w:val="22"/>
                <w:szCs w:val="22"/>
              </w:rPr>
              <w:t>Ulteriori dati necessari per diagnosi di SM</w:t>
            </w:r>
          </w:p>
        </w:tc>
      </w:tr>
      <w:tr w:rsidR="00BD0D01" w:rsidRPr="00010F69" w:rsidTr="001C4876">
        <w:trPr>
          <w:trHeight w:val="320"/>
        </w:trPr>
        <w:tc>
          <w:tcPr>
            <w:tcW w:w="3006"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Due o più relapse; obiettività</w:t>
            </w:r>
            <w:r>
              <w:rPr>
                <w:rFonts w:ascii="Times New Roman" w:hAnsi="Times New Roman" w:cs="Times New Roman"/>
                <w:sz w:val="22"/>
                <w:szCs w:val="22"/>
              </w:rPr>
              <w:t xml:space="preserve"> clinica di 2 o più lesioni o o</w:t>
            </w:r>
            <w:r w:rsidRPr="00010F69">
              <w:rPr>
                <w:rFonts w:ascii="Times New Roman" w:hAnsi="Times New Roman" w:cs="Times New Roman"/>
                <w:sz w:val="22"/>
                <w:szCs w:val="22"/>
              </w:rPr>
              <w:t>biettività clinica di una lesione associata ad un’evidenza anamnestica ragionevole di un precedente attacco</w:t>
            </w:r>
          </w:p>
        </w:tc>
        <w:tc>
          <w:tcPr>
            <w:tcW w:w="4791"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Nessuno</w:t>
            </w:r>
            <w:r>
              <w:rPr>
                <w:rFonts w:ascii="Times New Roman" w:hAnsi="Times New Roman" w:cs="Times New Roman"/>
                <w:sz w:val="22"/>
                <w:szCs w:val="22"/>
              </w:rPr>
              <w:t>, ma sarebbe comunque indicato effettuare ulteriori esami, come RMN, CSF, PEV. Se questi sono negativi, la diagnosi di SM va fatta con estrema cautela.</w:t>
            </w:r>
          </w:p>
        </w:tc>
      </w:tr>
      <w:tr w:rsidR="00BD0D01" w:rsidRPr="00010F69" w:rsidTr="001C4876">
        <w:trPr>
          <w:trHeight w:val="1312"/>
        </w:trPr>
        <w:tc>
          <w:tcPr>
            <w:tcW w:w="3006"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Due o più attacchi con evidenza clinica di una sola lesione</w:t>
            </w:r>
          </w:p>
        </w:tc>
        <w:tc>
          <w:tcPr>
            <w:tcW w:w="4791"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u w:val="single"/>
              </w:rPr>
              <w:t>Disseminazione nello spazio dimostrata da</w:t>
            </w:r>
            <w:r w:rsidRPr="00010F69">
              <w:rPr>
                <w:rFonts w:ascii="Times New Roman" w:hAnsi="Times New Roman" w:cs="Times New Roman"/>
                <w:sz w:val="22"/>
                <w:szCs w:val="22"/>
              </w:rPr>
              <w:t>:</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più di una lesione alla risonanza in almeno 2 delle 4 tipiche regioni cerebrali</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Aspettare un ulteriore relapse che dimo</w:t>
            </w:r>
            <w:r>
              <w:rPr>
                <w:rFonts w:ascii="Times New Roman" w:hAnsi="Times New Roman" w:cs="Times New Roman"/>
                <w:sz w:val="22"/>
                <w:szCs w:val="22"/>
              </w:rPr>
              <w:t>stri</w:t>
            </w:r>
            <w:r w:rsidRPr="00010F69">
              <w:rPr>
                <w:rFonts w:ascii="Times New Roman" w:hAnsi="Times New Roman" w:cs="Times New Roman"/>
                <w:sz w:val="22"/>
                <w:szCs w:val="22"/>
              </w:rPr>
              <w:t xml:space="preserve"> attività in un’altra parte del SNC</w:t>
            </w:r>
          </w:p>
        </w:tc>
      </w:tr>
      <w:tr w:rsidR="00BD0D01" w:rsidRPr="00010F69" w:rsidTr="001C4876">
        <w:trPr>
          <w:trHeight w:val="2570"/>
        </w:trPr>
        <w:tc>
          <w:tcPr>
            <w:tcW w:w="3006" w:type="dxa"/>
            <w:noWrap/>
            <w:hideMark/>
          </w:tcPr>
          <w:p w:rsidR="00BD0D01" w:rsidRPr="00010F69" w:rsidRDefault="00BD0D01" w:rsidP="001C4876">
            <w:pPr>
              <w:jc w:val="both"/>
              <w:rPr>
                <w:rFonts w:ascii="Times New Roman" w:hAnsi="Times New Roman" w:cs="Times New Roman"/>
                <w:sz w:val="22"/>
                <w:szCs w:val="22"/>
              </w:rPr>
            </w:pPr>
            <w:r>
              <w:rPr>
                <w:rFonts w:ascii="Times New Roman" w:hAnsi="Times New Roman" w:cs="Times New Roman"/>
                <w:sz w:val="22"/>
                <w:szCs w:val="22"/>
              </w:rPr>
              <w:t>Un attacco e o</w:t>
            </w:r>
            <w:r w:rsidRPr="00010F69">
              <w:rPr>
                <w:rFonts w:ascii="Times New Roman" w:hAnsi="Times New Roman" w:cs="Times New Roman"/>
                <w:sz w:val="22"/>
                <w:szCs w:val="22"/>
              </w:rPr>
              <w:t xml:space="preserve">biettività clinica di 2 o più lesioni </w:t>
            </w:r>
          </w:p>
        </w:tc>
        <w:tc>
          <w:tcPr>
            <w:tcW w:w="4791"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u w:val="single"/>
              </w:rPr>
              <w:t>Disseminazione nel tempo dimostrata da:</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Pr>
                <w:rFonts w:ascii="Times New Roman" w:hAnsi="Times New Roman" w:cs="Times New Roman"/>
                <w:sz w:val="22"/>
                <w:szCs w:val="22"/>
              </w:rPr>
              <w:t>Evidenza ad una singola r</w:t>
            </w:r>
            <w:r w:rsidRPr="00010F69">
              <w:rPr>
                <w:rFonts w:ascii="Times New Roman" w:hAnsi="Times New Roman" w:cs="Times New Roman"/>
                <w:sz w:val="22"/>
                <w:szCs w:val="22"/>
              </w:rPr>
              <w:t xml:space="preserve">isonanza di una lesione attiva e di una non attiva (precedente) </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 xml:space="preserve">Evidenza alla risonanza </w:t>
            </w:r>
            <w:r>
              <w:rPr>
                <w:rFonts w:ascii="Times New Roman" w:hAnsi="Times New Roman" w:cs="Times New Roman"/>
                <w:sz w:val="22"/>
                <w:szCs w:val="22"/>
              </w:rPr>
              <w:t>di una nuova lesione</w:t>
            </w:r>
            <w:r w:rsidRPr="00010F69">
              <w:rPr>
                <w:rFonts w:ascii="Times New Roman" w:hAnsi="Times New Roman" w:cs="Times New Roman"/>
                <w:sz w:val="22"/>
                <w:szCs w:val="22"/>
              </w:rPr>
              <w:t xml:space="preserve"> non presente ad una passata scan</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Pr>
                <w:rFonts w:ascii="Times New Roman" w:hAnsi="Times New Roman" w:cs="Times New Roman"/>
                <w:sz w:val="22"/>
                <w:szCs w:val="22"/>
              </w:rPr>
              <w:t>Aspettare un’</w:t>
            </w:r>
            <w:r w:rsidRPr="00010F69">
              <w:rPr>
                <w:rFonts w:ascii="Times New Roman" w:hAnsi="Times New Roman" w:cs="Times New Roman"/>
                <w:sz w:val="22"/>
                <w:szCs w:val="22"/>
              </w:rPr>
              <w:t>ulteriore relapse</w:t>
            </w:r>
          </w:p>
        </w:tc>
      </w:tr>
      <w:tr w:rsidR="00BD0D01" w:rsidRPr="00010F69" w:rsidTr="001C4876">
        <w:trPr>
          <w:trHeight w:val="1686"/>
        </w:trPr>
        <w:tc>
          <w:tcPr>
            <w:tcW w:w="3006" w:type="dxa"/>
            <w:vMerge w:val="restart"/>
            <w:noWrap/>
            <w:hideMark/>
          </w:tcPr>
          <w:p w:rsidR="00BD0D01" w:rsidRPr="00010F69" w:rsidRDefault="00BD0D01" w:rsidP="001C4876">
            <w:pPr>
              <w:jc w:val="both"/>
              <w:rPr>
                <w:rFonts w:ascii="Times New Roman" w:hAnsi="Times New Roman" w:cs="Times New Roman"/>
                <w:sz w:val="22"/>
                <w:szCs w:val="22"/>
              </w:rPr>
            </w:pPr>
            <w:r>
              <w:rPr>
                <w:rFonts w:ascii="Times New Roman" w:hAnsi="Times New Roman" w:cs="Times New Roman"/>
                <w:sz w:val="22"/>
                <w:szCs w:val="22"/>
              </w:rPr>
              <w:t>Un attacco e o</w:t>
            </w:r>
            <w:r w:rsidRPr="00010F69">
              <w:rPr>
                <w:rFonts w:ascii="Times New Roman" w:hAnsi="Times New Roman" w:cs="Times New Roman"/>
                <w:sz w:val="22"/>
                <w:szCs w:val="22"/>
              </w:rPr>
              <w:t xml:space="preserve">biettività clinica di </w:t>
            </w:r>
            <w:r>
              <w:rPr>
                <w:rFonts w:ascii="Times New Roman" w:hAnsi="Times New Roman" w:cs="Times New Roman"/>
                <w:sz w:val="22"/>
                <w:szCs w:val="22"/>
              </w:rPr>
              <w:t>1 sola</w:t>
            </w:r>
            <w:r w:rsidRPr="00010F69">
              <w:rPr>
                <w:rFonts w:ascii="Times New Roman" w:hAnsi="Times New Roman" w:cs="Times New Roman"/>
                <w:sz w:val="22"/>
                <w:szCs w:val="22"/>
              </w:rPr>
              <w:t xml:space="preserve"> lesione</w:t>
            </w:r>
          </w:p>
        </w:tc>
        <w:tc>
          <w:tcPr>
            <w:tcW w:w="4791"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u w:val="single"/>
              </w:rPr>
              <w:t>Disseminazione nello spazio dimostrata da</w:t>
            </w:r>
            <w:r w:rsidRPr="00010F69">
              <w:rPr>
                <w:rFonts w:ascii="Times New Roman" w:hAnsi="Times New Roman" w:cs="Times New Roman"/>
                <w:sz w:val="22"/>
                <w:szCs w:val="22"/>
              </w:rPr>
              <w:t>:</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Pr>
                <w:rFonts w:ascii="Times New Roman" w:hAnsi="Times New Roman" w:cs="Times New Roman"/>
                <w:sz w:val="22"/>
                <w:szCs w:val="22"/>
              </w:rPr>
              <w:t>P</w:t>
            </w:r>
            <w:r w:rsidRPr="00010F69">
              <w:rPr>
                <w:rFonts w:ascii="Times New Roman" w:hAnsi="Times New Roman" w:cs="Times New Roman"/>
                <w:sz w:val="22"/>
                <w:szCs w:val="22"/>
              </w:rPr>
              <w:t>iù di una lesione alla risonanza in almeno 2 delle 4 tipiche regioni cerebrali</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Pr>
                <w:rFonts w:ascii="Times New Roman" w:hAnsi="Times New Roman" w:cs="Times New Roman"/>
                <w:sz w:val="22"/>
                <w:szCs w:val="22"/>
              </w:rPr>
              <w:t>Aspettare un’</w:t>
            </w:r>
            <w:r w:rsidRPr="00010F69">
              <w:rPr>
                <w:rFonts w:ascii="Times New Roman" w:hAnsi="Times New Roman" w:cs="Times New Roman"/>
                <w:sz w:val="22"/>
                <w:szCs w:val="22"/>
              </w:rPr>
              <w:t>ulteriore relapse che dimostra attività in un’altra parte del SNC</w:t>
            </w:r>
          </w:p>
        </w:tc>
      </w:tr>
      <w:tr w:rsidR="00BD0D01" w:rsidRPr="00010F69" w:rsidTr="001C4876">
        <w:trPr>
          <w:trHeight w:val="2401"/>
        </w:trPr>
        <w:tc>
          <w:tcPr>
            <w:tcW w:w="3006" w:type="dxa"/>
            <w:vMerge/>
            <w:hideMark/>
          </w:tcPr>
          <w:p w:rsidR="00BD0D01" w:rsidRPr="00010F69" w:rsidRDefault="00BD0D01" w:rsidP="001C4876">
            <w:pPr>
              <w:jc w:val="both"/>
              <w:rPr>
                <w:rFonts w:ascii="Times New Roman" w:hAnsi="Times New Roman" w:cs="Times New Roman"/>
                <w:sz w:val="22"/>
                <w:szCs w:val="22"/>
              </w:rPr>
            </w:pPr>
          </w:p>
        </w:tc>
        <w:tc>
          <w:tcPr>
            <w:tcW w:w="4791" w:type="dxa"/>
            <w:noWrap/>
            <w:hideMark/>
          </w:tcPr>
          <w:p w:rsidR="00BD0D01" w:rsidRPr="00010F69" w:rsidRDefault="00BD0D01" w:rsidP="001C4876">
            <w:pPr>
              <w:jc w:val="both"/>
              <w:rPr>
                <w:rFonts w:ascii="Times New Roman" w:hAnsi="Times New Roman" w:cs="Times New Roman"/>
                <w:sz w:val="22"/>
                <w:szCs w:val="22"/>
                <w:u w:val="single"/>
              </w:rPr>
            </w:pPr>
            <w:r w:rsidRPr="00010F69">
              <w:rPr>
                <w:rFonts w:ascii="Times New Roman" w:hAnsi="Times New Roman" w:cs="Times New Roman"/>
                <w:sz w:val="22"/>
                <w:szCs w:val="22"/>
                <w:u w:val="single"/>
              </w:rPr>
              <w:t>Disseminazione nel tempo dimostrata da:</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Pr>
                <w:rFonts w:ascii="Times New Roman" w:hAnsi="Times New Roman" w:cs="Times New Roman"/>
                <w:sz w:val="22"/>
                <w:szCs w:val="22"/>
              </w:rPr>
              <w:t>Evidenza ad una singola r</w:t>
            </w:r>
            <w:r w:rsidRPr="00010F69">
              <w:rPr>
                <w:rFonts w:ascii="Times New Roman" w:hAnsi="Times New Roman" w:cs="Times New Roman"/>
                <w:sz w:val="22"/>
                <w:szCs w:val="22"/>
              </w:rPr>
              <w:t>isonanza di una lesione attiva e di una non attiva (precedente)</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Evidenza alla ri</w:t>
            </w:r>
            <w:r>
              <w:rPr>
                <w:rFonts w:ascii="Times New Roman" w:hAnsi="Times New Roman" w:cs="Times New Roman"/>
                <w:sz w:val="22"/>
                <w:szCs w:val="22"/>
              </w:rPr>
              <w:t>sonanza di una nuova lesione</w:t>
            </w:r>
            <w:r w:rsidRPr="00010F69">
              <w:rPr>
                <w:rFonts w:ascii="Times New Roman" w:hAnsi="Times New Roman" w:cs="Times New Roman"/>
                <w:sz w:val="22"/>
                <w:szCs w:val="22"/>
              </w:rPr>
              <w:t xml:space="preserve"> non presente ad una passata scan</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oppure</w:t>
            </w:r>
          </w:p>
          <w:p w:rsidR="00BD0D01" w:rsidRPr="00010F69" w:rsidRDefault="00BD0D01" w:rsidP="00BD0D01">
            <w:pPr>
              <w:pStyle w:val="Paragrafoelenco"/>
              <w:numPr>
                <w:ilvl w:val="0"/>
                <w:numId w:val="2"/>
              </w:numPr>
              <w:jc w:val="both"/>
              <w:rPr>
                <w:rFonts w:ascii="Times New Roman" w:hAnsi="Times New Roman" w:cs="Times New Roman"/>
                <w:sz w:val="22"/>
                <w:szCs w:val="22"/>
                <w:u w:val="single"/>
              </w:rPr>
            </w:pPr>
            <w:r w:rsidRPr="00010F69">
              <w:rPr>
                <w:rFonts w:ascii="Times New Roman" w:hAnsi="Times New Roman" w:cs="Times New Roman"/>
                <w:sz w:val="22"/>
                <w:szCs w:val="22"/>
              </w:rPr>
              <w:t>Aspettare un ulteriore relapse</w:t>
            </w:r>
          </w:p>
        </w:tc>
      </w:tr>
      <w:tr w:rsidR="00BD0D01" w:rsidRPr="00010F69" w:rsidTr="001C4876">
        <w:trPr>
          <w:trHeight w:val="1717"/>
        </w:trPr>
        <w:tc>
          <w:tcPr>
            <w:tcW w:w="3006" w:type="dxa"/>
            <w:noWrap/>
            <w:hideMark/>
          </w:tcPr>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lastRenderedPageBreak/>
              <w:t>Progressione neurologica insidiosa suggestiva di SM (tipica per SM primaria progressiva)</w:t>
            </w:r>
          </w:p>
        </w:tc>
        <w:tc>
          <w:tcPr>
            <w:tcW w:w="4791" w:type="dxa"/>
            <w:noWrap/>
            <w:hideMark/>
          </w:tcPr>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 xml:space="preserve">Progressione continua per un anno (determinata dall’osservazione </w:t>
            </w:r>
            <w:r>
              <w:rPr>
                <w:rFonts w:ascii="Times New Roman" w:hAnsi="Times New Roman" w:cs="Times New Roman"/>
                <w:sz w:val="22"/>
                <w:szCs w:val="22"/>
              </w:rPr>
              <w:t>di</w:t>
            </w:r>
            <w:r w:rsidRPr="00010F69">
              <w:rPr>
                <w:rFonts w:ascii="Times New Roman" w:hAnsi="Times New Roman" w:cs="Times New Roman"/>
                <w:sz w:val="22"/>
                <w:szCs w:val="22"/>
              </w:rPr>
              <w:t xml:space="preserve"> sintomi precedenti o osservazione continua)</w:t>
            </w:r>
          </w:p>
          <w:p w:rsidR="00BD0D01" w:rsidRPr="00010F69" w:rsidRDefault="00BD0D01" w:rsidP="001C4876">
            <w:pPr>
              <w:jc w:val="both"/>
              <w:rPr>
                <w:rFonts w:ascii="Times New Roman" w:hAnsi="Times New Roman" w:cs="Times New Roman"/>
                <w:sz w:val="22"/>
                <w:szCs w:val="22"/>
              </w:rPr>
            </w:pPr>
            <w:r w:rsidRPr="00010F69">
              <w:rPr>
                <w:rFonts w:ascii="Times New Roman" w:hAnsi="Times New Roman" w:cs="Times New Roman"/>
                <w:sz w:val="22"/>
                <w:szCs w:val="22"/>
              </w:rPr>
              <w:t>Più uno qualsiasi tra</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 xml:space="preserve">Una o più lesioni </w:t>
            </w:r>
            <w:r>
              <w:rPr>
                <w:rFonts w:ascii="Times New Roman" w:hAnsi="Times New Roman" w:cs="Times New Roman"/>
                <w:sz w:val="22"/>
                <w:szCs w:val="22"/>
              </w:rPr>
              <w:t xml:space="preserve">in almeno un’area </w:t>
            </w:r>
            <w:r w:rsidRPr="00010F69">
              <w:rPr>
                <w:rFonts w:ascii="Times New Roman" w:hAnsi="Times New Roman" w:cs="Times New Roman"/>
                <w:sz w:val="22"/>
                <w:szCs w:val="22"/>
              </w:rPr>
              <w:t>alla RMN cerebrale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Due o più lesioni alla RMN spinale</w:t>
            </w:r>
          </w:p>
          <w:p w:rsidR="00BD0D01" w:rsidRPr="00010F69" w:rsidRDefault="00BD0D01" w:rsidP="00BD0D01">
            <w:pPr>
              <w:pStyle w:val="Paragrafoelenco"/>
              <w:numPr>
                <w:ilvl w:val="0"/>
                <w:numId w:val="2"/>
              </w:numPr>
              <w:jc w:val="both"/>
              <w:rPr>
                <w:rFonts w:ascii="Times New Roman" w:hAnsi="Times New Roman" w:cs="Times New Roman"/>
                <w:sz w:val="22"/>
                <w:szCs w:val="22"/>
              </w:rPr>
            </w:pPr>
            <w:r w:rsidRPr="00010F69">
              <w:rPr>
                <w:rFonts w:ascii="Times New Roman" w:hAnsi="Times New Roman" w:cs="Times New Roman"/>
                <w:sz w:val="22"/>
                <w:szCs w:val="22"/>
              </w:rPr>
              <w:t>Positività ai test del liquor cefalorachidiano</w:t>
            </w:r>
          </w:p>
        </w:tc>
      </w:tr>
    </w:tbl>
    <w:p w:rsidR="00BD0D01" w:rsidRPr="00010F69" w:rsidRDefault="00BD0D01" w:rsidP="00BD0D01">
      <w:pPr>
        <w:widowControl w:val="0"/>
        <w:autoSpaceDE w:val="0"/>
        <w:autoSpaceDN w:val="0"/>
        <w:adjustRightInd w:val="0"/>
        <w:spacing w:after="240" w:line="360" w:lineRule="auto"/>
        <w:ind w:left="1134" w:right="560"/>
        <w:jc w:val="both"/>
        <w:rPr>
          <w:rFonts w:ascii="Times New Roman" w:hAnsi="Times New Roman" w:cs="Times New Roman"/>
        </w:rPr>
      </w:pP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Risulta importante infine chiarire come sulla base dei criteri comunemente utilizzati</w:t>
      </w:r>
      <w:r>
        <w:rPr>
          <w:rFonts w:ascii="Times New Roman" w:hAnsi="Times New Roman" w:cs="Times New Roman"/>
        </w:rPr>
        <w:t xml:space="preserve"> nella pratica clinica, si parli</w:t>
      </w:r>
      <w:r w:rsidRPr="00010F69">
        <w:rPr>
          <w:rFonts w:ascii="Times New Roman" w:hAnsi="Times New Roman" w:cs="Times New Roman"/>
        </w:rPr>
        <w:t xml:space="preserve"> di </w:t>
      </w:r>
      <w:r>
        <w:rPr>
          <w:rFonts w:ascii="Times New Roman" w:hAnsi="Times New Roman" w:cs="Times New Roman"/>
        </w:rPr>
        <w:t>p</w:t>
      </w:r>
      <w:r w:rsidRPr="00010F69">
        <w:rPr>
          <w:rFonts w:ascii="Times New Roman" w:hAnsi="Times New Roman" w:cs="Times New Roman"/>
        </w:rPr>
        <w:t xml:space="preserve">ossibile </w:t>
      </w:r>
      <w:r>
        <w:rPr>
          <w:rFonts w:ascii="Times New Roman" w:hAnsi="Times New Roman" w:cs="Times New Roman"/>
        </w:rPr>
        <w:t>s</w:t>
      </w:r>
      <w:r w:rsidRPr="00010F69">
        <w:rPr>
          <w:rFonts w:ascii="Times New Roman" w:hAnsi="Times New Roman" w:cs="Times New Roman"/>
        </w:rPr>
        <w:t xml:space="preserve">clerosi </w:t>
      </w:r>
      <w:r>
        <w:rPr>
          <w:rFonts w:ascii="Times New Roman" w:hAnsi="Times New Roman" w:cs="Times New Roman"/>
        </w:rPr>
        <w:t>m</w:t>
      </w:r>
      <w:r w:rsidRPr="00010F69">
        <w:rPr>
          <w:rFonts w:ascii="Times New Roman" w:hAnsi="Times New Roman" w:cs="Times New Roman"/>
        </w:rPr>
        <w:t>ultipla (pSM) se in un paziente a presentazione monosintomatica risultano acquisiti solo i criteri di disseminazione nello spazio</w:t>
      </w:r>
      <w:r>
        <w:rPr>
          <w:rFonts w:ascii="Times New Roman" w:hAnsi="Times New Roman" w:cs="Times New Roman"/>
        </w:rPr>
        <w:t xml:space="preserve"> (o CIS multifocale)</w:t>
      </w:r>
      <w:r w:rsidRPr="00010F69">
        <w:rPr>
          <w:rFonts w:ascii="Times New Roman" w:hAnsi="Times New Roman" w:cs="Times New Roman"/>
        </w:rPr>
        <w:t xml:space="preserve">, di </w:t>
      </w:r>
      <w:r>
        <w:rPr>
          <w:rFonts w:ascii="Times New Roman" w:hAnsi="Times New Roman" w:cs="Times New Roman"/>
        </w:rPr>
        <w:t>s</w:t>
      </w:r>
      <w:r w:rsidRPr="00A55579">
        <w:rPr>
          <w:rFonts w:ascii="Times New Roman" w:hAnsi="Times New Roman" w:cs="Times New Roman"/>
        </w:rPr>
        <w:t xml:space="preserve">indrome </w:t>
      </w:r>
      <w:r>
        <w:rPr>
          <w:rFonts w:ascii="Times New Roman" w:hAnsi="Times New Roman" w:cs="Times New Roman"/>
        </w:rPr>
        <w:t>c</w:t>
      </w:r>
      <w:r w:rsidRPr="00A55579">
        <w:rPr>
          <w:rFonts w:ascii="Times New Roman" w:hAnsi="Times New Roman" w:cs="Times New Roman"/>
        </w:rPr>
        <w:t xml:space="preserve">linicamente </w:t>
      </w:r>
      <w:r>
        <w:rPr>
          <w:rFonts w:ascii="Times New Roman" w:hAnsi="Times New Roman" w:cs="Times New Roman"/>
        </w:rPr>
        <w:t>i</w:t>
      </w:r>
      <w:r w:rsidRPr="00A55579">
        <w:rPr>
          <w:rFonts w:ascii="Times New Roman" w:hAnsi="Times New Roman" w:cs="Times New Roman"/>
        </w:rPr>
        <w:t>solata</w:t>
      </w:r>
      <w:r w:rsidRPr="00010F69">
        <w:rPr>
          <w:rFonts w:ascii="Times New Roman" w:hAnsi="Times New Roman" w:cs="Times New Roman"/>
        </w:rPr>
        <w:t xml:space="preserve"> (CIS) se nessuno dei criteri di disseminazione è soddisfatto</w:t>
      </w:r>
      <w:r>
        <w:rPr>
          <w:rFonts w:ascii="Times New Roman" w:hAnsi="Times New Roman" w:cs="Times New Roman"/>
        </w:rPr>
        <w:t xml:space="preserve"> (o CIS monofocale)</w:t>
      </w:r>
      <w:r w:rsidRPr="00010F69">
        <w:rPr>
          <w:rFonts w:ascii="Times New Roman" w:hAnsi="Times New Roman" w:cs="Times New Roman"/>
        </w:rPr>
        <w:t xml:space="preserve">. </w:t>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In tutti i possibili casi (SM, CIS, pSM) occorre dimostrare mediante screening immunologico “l’assenza di una migliore spiegazione”.</w:t>
      </w:r>
    </w:p>
    <w:p w:rsidR="00BD0D01" w:rsidRDefault="00BD0D01" w:rsidP="00BD0D01">
      <w:pPr>
        <w:widowControl w:val="0"/>
        <w:autoSpaceDE w:val="0"/>
        <w:autoSpaceDN w:val="0"/>
        <w:adjustRightInd w:val="0"/>
        <w:spacing w:after="240" w:line="360" w:lineRule="auto"/>
        <w:ind w:left="1134"/>
        <w:jc w:val="both"/>
        <w:rPr>
          <w:rFonts w:ascii="Times New Roman" w:hAnsi="Times New Roman" w:cs="Times New Roman"/>
          <w:b/>
        </w:rPr>
      </w:pP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b/>
        </w:rPr>
      </w:pPr>
    </w:p>
    <w:p w:rsidR="00BD0D01" w:rsidRPr="008463C1" w:rsidRDefault="00BD0D01" w:rsidP="00BD0D01">
      <w:pPr>
        <w:pStyle w:val="TitoloTesi3"/>
      </w:pPr>
      <w:bookmarkStart w:id="1" w:name="_Toc486517424"/>
      <w:r w:rsidRPr="008463C1">
        <w:t>L’ANALISI LIQUORALE: IL RUOLO DELLA BANDE OLIGOCLONALI</w:t>
      </w:r>
      <w:bookmarkEnd w:id="1"/>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Sebbene il suo ruolo sia stato notevolmente ridimensionato dalle più recenti revisioni dei criteri diagnostici per la SM</w:t>
      </w:r>
      <w:r>
        <w:rPr>
          <w:rFonts w:ascii="Times New Roman" w:hAnsi="Times New Roman" w:cs="Times New Roman"/>
        </w:rPr>
        <w:t>,</w:t>
      </w:r>
      <w:r w:rsidRPr="00095E24">
        <w:rPr>
          <w:rStyle w:val="Apice1"/>
        </w:rPr>
        <w:fldChar w:fldCharType="begin" w:fldLock="1"/>
      </w:r>
      <w:r w:rsidRPr="00095E24">
        <w:rPr>
          <w:rStyle w:val="Apice1"/>
        </w:rPr>
        <w:instrText>ADDIN CSL_CITATION { "citationItems" : [ { "id" : "ITEM-1", "itemData" : { "DOI" : "10.1002/ana.22366", "ISBN" : "1531-8249 (Electronic)\\r0364-5134 (Linking)", "ISSN" : "03645134", "PMID" : "21387374", "abstract" : "New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 "author" : [ { "dropping-particle" : "", "family" : "Polman", "given" : "Chris H.", "non-dropping-particle" : "", "parse-names" : false, "suffix" : "" }, { "dropping-particle" : "", "family" : "Reingold", "given" : "Stephen C.", "non-dropping-particle" : "", "parse-names" : false, "suffix" : "" }, { "dropping-particle" : "", "family" : "Banwell", "given" : "Brenda", "non-dropping-particle" : "", "parse-names" : false, "suffix" : "" }, { "dropping-particle" : "", "family" : "Clanet", "given" : "Michel", "non-dropping-particle" : "", "parse-names" : false, "suffix" : "" }, { "dropping-particle" : "", "family" : "Cohen", "given" : "Jeffrey A.", "non-dropping-particle" : "", "parse-names" : false, "suffix" : "" }, { "dropping-particle" : "", "family" : "Filippi", "given" : "Massimo", "non-dropping-particle" : "", "parse-names" : false, "suffix" : "" }, { "dropping-particle" : "", "family" : "Fujihara", "given" : "Kazuo", "non-dropping-particle" : "", "parse-names" : false, "suffix" : "" }, { "dropping-particle" : "", "family" : "Havrdova", "given" : "Eva", "non-dropping-particle" : "", "parse-names" : false, "suffix" : "" }, { "dropping-particle" : "", "family" : "Hutchinson", "given" : "Michael", "non-dropping-particle" : "", "parse-names" : false, "suffix" : "" }, { "dropping-particle" : "", "family" : "Kappos", "given" : "Ludwig", "non-dropping-particle" : "", "parse-names" : false, "suffix" : "" }, { "dropping-particle" : "", "family" : "Lublin", "given" : "Fred D.", "non-dropping-particle" : "", "parse-names" : false, "suffix" : "" }, { "dropping-particle" : "", "family" : "Montalban", "given" : "Xavier", "non-dropping-particle" : "", "parse-names" : false, "suffix" : "" }, { "dropping-particle" : "", "family" : "O'Connor", "given" : "Paul",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"Waubant", "given" : "Emmanuelle", "non-dropping-particle" : "", "parse-names" : false, "suffix" : "" }, { "dropping-particle" : "", "family" : "Weinshenker", "given" : "Brian", "non-dropping-particle" : "", "parse-names" : false, "suffix" : "" }, { "dropping-particle" : "", "family" : "Wolinsky", "given" : "Jerry S.", "non-dropping-particle" : "", "parse-names" : false, "suffix" : "" } ], "container-title" : "Annals of Neurology", "id" : "ITEM-1", "issue" : "2", "issued" : { "date-parts" : [ [ "2011" ] ] }, "page" : "292-302", "title" : "Diagnostic criteria for multiple sclerosis: 2010 Revisions to the McDonald criteria", "type" : "article-journal", "volume" : "69" }, "uris" : [ "http://www.mendeley.com/documents/?uuid=8916d071-cd20-477b-8acf-ecdf9a2bd8dd" ] } ], "mendeley" : { "formattedCitation" : "&lt;sup&gt;71&lt;/sup&gt;", "plainTextFormattedCitation" : "71", "previouslyFormattedCitation" : "&lt;sup&gt;71&lt;/sup&gt;" }, "properties" : { "noteIndex" : 0 }, "schema" : "https://github.com/citation-style-language/schema/raw/master/csl-citation.json" }</w:instrText>
      </w:r>
      <w:r w:rsidRPr="00095E24">
        <w:rPr>
          <w:rStyle w:val="Apice1"/>
        </w:rPr>
        <w:fldChar w:fldCharType="separate"/>
      </w:r>
      <w:r w:rsidRPr="00095E24">
        <w:rPr>
          <w:rStyle w:val="Apice1"/>
          <w:noProof/>
        </w:rPr>
        <w:t>71</w:t>
      </w:r>
      <w:r w:rsidRPr="00095E24">
        <w:rPr>
          <w:rStyle w:val="Apice1"/>
        </w:rPr>
        <w:fldChar w:fldCharType="end"/>
      </w:r>
      <w:r w:rsidRPr="00010F69">
        <w:rPr>
          <w:rFonts w:ascii="Times New Roman" w:hAnsi="Times New Roman" w:cs="Times New Roman"/>
        </w:rPr>
        <w:t xml:space="preserve"> l’analisi del liquido cefalo-rachidiano (CSF) ha rappresentato e rappresenta tuttora un elemento diagnostico di estrema importanza per confermare la presenza di un profilo in</w:t>
      </w:r>
      <w:r>
        <w:rPr>
          <w:rFonts w:ascii="Times New Roman" w:hAnsi="Times New Roman" w:cs="Times New Roman"/>
        </w:rPr>
        <w:t>fiammatorio a livello liquorale che</w:t>
      </w:r>
      <w:r w:rsidRPr="00010F69">
        <w:rPr>
          <w:rFonts w:ascii="Times New Roman" w:hAnsi="Times New Roman" w:cs="Times New Roman"/>
        </w:rPr>
        <w:t xml:space="preserve"> spesso</w:t>
      </w:r>
      <w:r>
        <w:rPr>
          <w:rFonts w:ascii="Times New Roman" w:hAnsi="Times New Roman" w:cs="Times New Roman"/>
        </w:rPr>
        <w:t>,</w:t>
      </w:r>
      <w:r w:rsidRPr="00010F69">
        <w:rPr>
          <w:rFonts w:ascii="Times New Roman" w:hAnsi="Times New Roman" w:cs="Times New Roman"/>
        </w:rPr>
        <w:t xml:space="preserve"> ma non nella totalità dei casi, caratterizza la SM</w:t>
      </w:r>
      <w:r>
        <w:rPr>
          <w:rFonts w:ascii="Times New Roman" w:hAnsi="Times New Roman" w:cs="Times New Roman"/>
        </w:rPr>
        <w:t>. L’analisi del CSF</w:t>
      </w:r>
      <w:r w:rsidRPr="00010F69">
        <w:rPr>
          <w:rFonts w:ascii="Times New Roman" w:hAnsi="Times New Roman" w:cs="Times New Roman"/>
        </w:rPr>
        <w:t xml:space="preserve"> </w:t>
      </w:r>
      <w:r>
        <w:rPr>
          <w:rFonts w:ascii="Times New Roman" w:hAnsi="Times New Roman" w:cs="Times New Roman"/>
        </w:rPr>
        <w:t>può contribuire ad</w:t>
      </w:r>
      <w:r w:rsidRPr="00010F69">
        <w:rPr>
          <w:rFonts w:ascii="Times New Roman" w:hAnsi="Times New Roman" w:cs="Times New Roman"/>
        </w:rPr>
        <w:t xml:space="preserve"> escludere la presenza di altre patologie che possono mimare clinicamente la patologia, e quindi fornire un valido aiuto nel </w:t>
      </w:r>
      <w:r>
        <w:rPr>
          <w:rFonts w:ascii="Times New Roman" w:hAnsi="Times New Roman" w:cs="Times New Roman"/>
        </w:rPr>
        <w:t>nell’esclusione di ogni altra</w:t>
      </w:r>
      <w:r w:rsidRPr="00010F69">
        <w:rPr>
          <w:rFonts w:ascii="Times New Roman" w:hAnsi="Times New Roman" w:cs="Times New Roman"/>
        </w:rPr>
        <w:t xml:space="preserve"> </w:t>
      </w:r>
      <w:r>
        <w:rPr>
          <w:rFonts w:ascii="Times New Roman" w:hAnsi="Times New Roman" w:cs="Times New Roman"/>
        </w:rPr>
        <w:t>“better e</w:t>
      </w:r>
      <w:r w:rsidRPr="00010F69">
        <w:rPr>
          <w:rFonts w:ascii="Times New Roman" w:hAnsi="Times New Roman" w:cs="Times New Roman"/>
        </w:rPr>
        <w:t>xplanation</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"10.1136/jnnp-2012-304695", "ISBN" : "1468-330X", "ISSN" : "0022-3050", "PMID" : "23431079", "abstract" : "Background Oligoclonal bands (OCBs) unique to the cerebrospinal fluid are used in the diagnosis of multiple sclerosis (MS). The precise prevalence of OCBs in MS and clinically isolated syndrome (CIS) is unknown. The influence of OCBs on clinical outcomes has not been quantified. OCB prevalence has been associated with latitude in a single study, if confirmed this would provide avenues for further study. Methods Using a systematic review and meta-analysis approach, the proportion of OCB-positive MS and CIS and the influence of OCBs on clinical outcomes were calculated. The relationship between latitude and OCB prevalence was calculated using linear regression. Results Seventy-one articles were included. Overall, 87.7% of 12 253 MS and 68.6% of 2685 CIS patients were OCB positive. OCB-positive MS patients had an OR of 1.96 of reaching disability outcomes, although a number of negative studies did not provide data. OCB-positive CIS patients had an OR of 9.88 of conversion to MS. Latitude predicted OCB status in MS patients (p=0.009) but not in CIS patients. Conclusions This is the largest study of OCB prevalence in MS and CIS. OCB positivity strongly predicts conversion from CIS to MS. The relationship between latitude and OCBs is confirmed, and this finding warrants further investigation.", "author" : [ { "dropping-particle" : "", "family" : "Dobson", "given" : "R.", "non-dropping-particle" : "", "parse-names" : false, "suffix" : "" }, { "dropping-particle" : "", "family" : "Ramagopalan", "given" : "S.", "non-dropping-particle" : "", "parse-names" : false, "suffix" : "" }, { "dropping-particle" : "", "family" : "Davis", "given" : "A.", "non-dropping-particle" : "", "parse-names" : false, "suffix" : "" }, { "dropping-particle" : "", "family" : "Giovannoni", "given" : "G.", "non-dropping-particle" : "", "parse-names" : false, "suffix" : "" } ], "container-title" : "Journal of Neurology, Neurosurgery &amp; Psychiatry", "id" : "ITEM-1", "issue" : "8", "issued" : { "date-parts" : [ [ "2013" ] ] }, "page" : "909-914", "title" : "Cerebrospinal fluid oligoclonal bands in multiple sclerosis and clinically isolated syndromes: a meta-analysis of prevalence, prognosis and effect of latitude", "type" : "article-journal", "volume" : "84" }, "uris" : [ "http://www.mendeley.com/documents/?uuid=67d8ddb9-0e86-42ec-ae72-d348ded63235" ] } ], "mendeley" : { "formattedCitation" : "&lt;sup&gt;72&lt;/sup&gt;", "plainTextFormattedCitation" : "72", "previouslyFormattedCitation" : "&lt;sup&gt;72&lt;/sup&gt;" }, "properties" : { "noteIndex" : 0 }, "schema" : "https://github.com/citation-style-language/schema/raw/master/csl-citation.json" }</w:instrText>
      </w:r>
      <w:r w:rsidRPr="006C2258">
        <w:rPr>
          <w:rStyle w:val="Apice1"/>
        </w:rPr>
        <w:fldChar w:fldCharType="separate"/>
      </w:r>
      <w:r w:rsidRPr="006C2258">
        <w:rPr>
          <w:rStyle w:val="Apice1"/>
          <w:noProof/>
        </w:rPr>
        <w:t>72</w:t>
      </w:r>
      <w:r w:rsidRPr="006C2258">
        <w:rPr>
          <w:rStyle w:val="Apice1"/>
        </w:rPr>
        <w:fldChar w:fldCharType="end"/>
      </w: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Il dato liquorale più importante è la presenza delle</w:t>
      </w:r>
      <w:r>
        <w:rPr>
          <w:rFonts w:ascii="Times New Roman" w:hAnsi="Times New Roman" w:cs="Times New Roman"/>
        </w:rPr>
        <w:t xml:space="preserve"> BOIgG</w:t>
      </w:r>
      <w:r w:rsidRPr="00010F69">
        <w:rPr>
          <w:rFonts w:ascii="Times New Roman" w:hAnsi="Times New Roman" w:cs="Times New Roman"/>
        </w:rPr>
        <w:t>. Inoltre risulta fondamentale analizzarne il pattern e misurarne il numero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"10.1136/jnnp-2012-304695", "ISBN" : "1468-330X", "ISSN" : "0022-3050", "PMID" : "23431079", "abstract" : "Background Oligoclonal bands (OCBs) unique to the cerebrospinal fluid are used in the diagnosis of multiple sclerosis (MS). The precise prevalence of OCBs in MS and clinically isolated syndrome (CIS) is unknown. The influence of OCBs on clinical outcomes has not been quantified. OCB prevalence has been associated with latitude in a single study, if confirmed this would provide avenues for further study. Methods Using a systematic review and meta-analysis approach, the proportion of OCB-positive MS and CIS and the influence of OCBs on clinical outcomes were calculated. The relationship between latitude and OCB prevalence was calculated using linear regression. Results Seventy-one articles were included. Overall, 87.7% of 12 253 MS and 68.6% of 2685 CIS patients were OCB positive. OCB-positive MS patients had an OR of 1.96 of reaching disability outcomes, although a number of negative studies did not provide data. OCB-positive CIS patients had an OR of 9.88 of conversion to MS. Latitude predicted OCB status in MS patients (p=0.009) but not in CIS patients. Conclusions This is the largest study of OCB prevalence in MS and CIS. OCB positivity strongly predicts conversion from CIS to MS. The relationship between latitude and OCBs is confirmed, and this finding warrants further investigation.", "author" : [ { "dropping-particle" : "", "family" : "Dobson", "given" : "R.", "non-dropping-particle" : "", "parse-names" : false, "suffix" : "" }, { "dropping-particle" : "", "family" : "Ramagopalan", "given" : "S.", "non-dropping-particle" : "", "parse-names" : false, "suffix" : "" }, { "dropping-particle" : "", "family" : "Davis", "given" : "A.", "non-dropping-particle" : "", "parse-names" : false, "suffix" : "" }, { "dropping-particle" : "", "family" : "Giovannoni", "given" : "G.", "non-dropping-particle" : "", "parse-names" : false, "suffix" : "" } ], "container-title" : "Journal of Neurology, Neurosurgery &amp; Psychiatry", "id" : "ITEM-1", "issue" : "8", "issued" : { "date-parts" : [ [ "2013" ] ] }, "page" : "909-914", "title" : "Cerebrospinal fluid oligoclonal bands in multiple sclerosis and clinically isolated syndromes: a meta-analysis of prevalence, prognosis and effect of latitude", "type" : "article-journal", "volume" : "84" }, "uris" : [ "http://www.mendeley.com/documents/?uuid=67d8ddb9-0e86-42ec-ae72-d348ded63235" ] }, { "id" : "ITEM-2", "itemData" : { "ISBN" : "0022-3050", "ISSN" : "0022-3050; 0022-3050", "PMID" : "8057110", "abstract" : "The Committee of the European Concerted Action for Multiple Sclerosis (Charcot Foundation) organised five workshops to discuss CSF analytical standards in the diagnosis of multiple sclerosis. This consensus report from 12 European countries summarises the results of those workshops. It is hoped that neurologists will confer with their colleagues in clinical chemistry to arrange the best possible local practice. The most sensitive method for the detection of oligoclonal immunoglobulin bands is isoelectric focusing. The same amounts of IgG in parallel CSF and serum samples are used and oligoclonal bands are revealed with IgG specific antibody staining. All laboratories performing isoelectric focusing should check their technique at least annually using \"blind\" standards for the five different CSF and serum patterns. Quantitative measurements of IgG production in the CNS are less sensitive than isoelectric focusing. The preferred method for detection of blood-CSF barrier dysfunction is the albumin quotient. The CSF albumin or total protein concentrations are less satisfactory. These results must be interpreted with reference to the age of the patient and the local method of determination. Cells should be counted. The normal value is no more than 4 cells/microliters. Among evolving optional tests, measurement of the combined local synthesis of antibodies against measles, rubella, and/or varicella zoster could represent a significant advance if it offers higher specificity (not sensitivity) for identifying chronic rather than acute inflammation. Other tests that may have useful correlations with clinical indices include those for oligoclonal free light chains, IgM, IgA, or myelin basic protein concentrations.", "author" : [ { "dropping-particle" : "", "family" : "Andersson", "given" : "M", "non-dropping-particle" : "", "parse-names" : false, "suffix" : "" }, { "dropping-particle" : "", "family" : "Alvarez-Cermeno", "given" : "J", "non-dropping-particle" : "", "parse-names" : false, "suffix" : "" }, { "dropping-particle" : "", "family" : "Bernardi", "given" : "G", "non-dropping-particle" : "", "parse-names" : false, "suffix" : "" }, { "dropping-particle" : "", "family" : "Cogato", "given" : "I", "non-dropping-particle" : "", "parse-names" : false, "suffix" : "" }, { "dropping-particle" : "", "family" : "Fredman", "given" : "P", "non-dropping-particle" : "", "parse-names" : false, "suffix" : "" }, { "dropping-particle" : "", "family" : "Frederiksen", "given" : "J", "non-dropping-particle" : "", "parse-names" : false, "suffix" : "" }, { "dropping-particle" : "", "family" : "Fredrikson", "given" : "S", "non-dropping-particle" : "", "parse-names" : false, "suffix" : "" }, { "dropping-particle" : "", "family" : "Gallo", "given" : "P", "non-dropping-particle" : "", "parse-names" : false, "suffix" : "" }, { "dropping-particle" : "", "family" : "Grimaldi", "given" : "L M", "non-dropping-particle" : "", "parse-names" : false, "suffix" : "" }, { "dropping-particle" : "", "family" : "Gronning", "given" : "M", "non-dropping-particle" : "", "parse-names" : false, "suffix" : "" }, { "dropping-particle" : "", "family" : "Keir", "given" : "G", "non-dropping-particle" : "", "parse-names" : false, "suffix" : "" }, { "dropping-particle" : "", "family" : "Lamers", "given" : "K", "non-dropping-particle" : "", "parse-names" : false, "suffix" : "" }, { "dropping-particle" : "", "family" : "Link", "given" : "H", "non-dropping-particle" : "", "parse-names" : false, "suffix" : "" }, { "dropping-particle" : "", "family" : "Magalhaes", "given" : "A", "non-dropping-particle" : "", "parse-names" : false, "suffix" : "" }, { "dropping-particle" : "", "family" : "Massaro", "given" : "A R", "non-dropping-particle" : "", "parse-names" : false, "suffix" : "" }, { "dropping-particle" : "", "family" : "\u00d6hman", "given" : "S", "non-dropping-particle" : "", "parse-names" : false, "suffix" : "" }, { "dropping-particle" : "", "family" : "Reiber", "given" : "H", "non-dropping-particle" : "", "parse-names" : false, "suffix" : "" }, { "dropping-particle" : "", "family" : "R\u00f6nnb\u00e4ck", "given" : "L", "non-dropping-particle" : "", "parse-names" : false, "suffix" : "" }, { "dropping-particle" : "", "family" : "Schluep", "given" : "M", "non-dropping-particle" : "", "parse-names" : false, "suffix" : "" }, { "dropping-particle" : "", "family" : "Schuller", "given" : "E", "non-dropping-particle" : "", "parse-names" : false, "suffix" : "" }, { "dropping-particle" : "", "family" : "Sindic", "given" : "C J M", "non-dropping-particle" : "", "parse-names" : false, "suffix" : "" }, { "dropping-particle" : "", "family" : "Thompson", "given" : "E J", "non-dropping-particle" : "", "parse-names" : false, "suffix" : "" }, { "dropping-particle" : "", "family" : "Trojano", "given" : "M", "non-dropping-particle" : "", "parse-names" : false, "suffix" : "" }, { "dropping-particle" : "", "family" : "Wurster", "given" : "U", "non-dropping-particle" : "", "parse-names" : false, "suffix" : "" } ], "container-title" : "Journal of Neurology, Neurosurgery and Psychiatry", "id" : "ITEM-2", "issue" : "8", "issued" : { "date-parts" : [ [ "1994" ] ] }, "page" : "897-902", "title" : "Cerebrospinal fluid in the diagnosis of multiple sclerosis: a consensus report", "type" : "article-journal", "volume" : "57" }, "uris" : [ "http://www.mendeley.com/documents/?uuid=1c63f9fe-066d-4852-9169-f09be4264b35" ] } ], "mendeley" : { "formattedCitation" : "&lt;sup&gt;72,73&lt;/sup&gt;", "plainTextFormattedCitation" : "72,73", "previouslyFormattedCitation" : "&lt;sup&gt;72,73&lt;/sup&gt;" }, "properties" : { "noteIndex" : 0 }, "schema" : "https://github.com/citation-style-language/schema/raw/master/csl-citation.json" }</w:instrText>
      </w:r>
      <w:r w:rsidRPr="006C2258">
        <w:rPr>
          <w:rStyle w:val="Apice1"/>
        </w:rPr>
        <w:fldChar w:fldCharType="separate"/>
      </w:r>
      <w:r w:rsidRPr="006C2258">
        <w:rPr>
          <w:rStyle w:val="Apice1"/>
          <w:noProof/>
        </w:rPr>
        <w:t>72,73</w:t>
      </w:r>
      <w:r w:rsidRPr="006C2258">
        <w:rPr>
          <w:rStyle w:val="Apice1"/>
        </w:rPr>
        <w:fldChar w:fldCharType="end"/>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Questo reperto diagnostico ha il significato di supportare una delle caratteristiche principali della SM, ovvero la compartimentalizzazione intratecale d</w:t>
      </w:r>
      <w:r>
        <w:rPr>
          <w:rFonts w:ascii="Times New Roman" w:hAnsi="Times New Roman" w:cs="Times New Roman"/>
        </w:rPr>
        <w:t>ella risposta infiammatoria. S</w:t>
      </w:r>
      <w:r w:rsidRPr="00010F69">
        <w:rPr>
          <w:rFonts w:ascii="Times New Roman" w:hAnsi="Times New Roman" w:cs="Times New Roman"/>
        </w:rPr>
        <w:t>ebbene il loro ruolo in fase diagnostica, come in precedenza specificato, sia stato ridimensionato, devono essere evidenziate alcune considerazioni tratte dalla letteratura su questo importante indice liquorale:</w:t>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lastRenderedPageBreak/>
        <w:t>•</w:t>
      </w:r>
      <w:r w:rsidRPr="00010F69">
        <w:rPr>
          <w:rFonts w:ascii="Times New Roman" w:hAnsi="Times New Roman" w:cs="Times New Roman"/>
        </w:rPr>
        <w:tab/>
        <w:t xml:space="preserve">i pazienti affetti da </w:t>
      </w:r>
      <w:r>
        <w:rPr>
          <w:rFonts w:ascii="Times New Roman" w:hAnsi="Times New Roman" w:cs="Times New Roman"/>
        </w:rPr>
        <w:t>s</w:t>
      </w:r>
      <w:r w:rsidRPr="00010F69">
        <w:rPr>
          <w:rFonts w:ascii="Times New Roman" w:hAnsi="Times New Roman" w:cs="Times New Roman"/>
        </w:rPr>
        <w:t xml:space="preserve">indrome </w:t>
      </w:r>
      <w:r>
        <w:rPr>
          <w:rFonts w:ascii="Times New Roman" w:hAnsi="Times New Roman" w:cs="Times New Roman"/>
        </w:rPr>
        <w:t>c</w:t>
      </w:r>
      <w:r w:rsidRPr="00010F69">
        <w:rPr>
          <w:rFonts w:ascii="Times New Roman" w:hAnsi="Times New Roman" w:cs="Times New Roman"/>
        </w:rPr>
        <w:t xml:space="preserve">linicamente </w:t>
      </w:r>
      <w:r>
        <w:rPr>
          <w:rFonts w:ascii="Times New Roman" w:hAnsi="Times New Roman" w:cs="Times New Roman"/>
        </w:rPr>
        <w:t>i</w:t>
      </w:r>
      <w:r w:rsidRPr="00010F69">
        <w:rPr>
          <w:rFonts w:ascii="Times New Roman" w:hAnsi="Times New Roman" w:cs="Times New Roman"/>
        </w:rPr>
        <w:t xml:space="preserve">solata che risultano positivi alle indagini liquorali delle </w:t>
      </w:r>
      <w:r>
        <w:rPr>
          <w:rFonts w:ascii="Times New Roman" w:hAnsi="Times New Roman" w:cs="Times New Roman"/>
        </w:rPr>
        <w:t>BOIgG</w:t>
      </w:r>
      <w:r w:rsidRPr="00010F69">
        <w:rPr>
          <w:rFonts w:ascii="Times New Roman" w:hAnsi="Times New Roman" w:cs="Times New Roman"/>
        </w:rPr>
        <w:t xml:space="preserve"> (</w:t>
      </w:r>
      <w:r>
        <w:rPr>
          <w:rFonts w:ascii="Times New Roman" w:hAnsi="Times New Roman" w:cs="Times New Roman"/>
        </w:rPr>
        <w:t>BOIgG</w:t>
      </w:r>
      <w:r w:rsidRPr="00010F69">
        <w:rPr>
          <w:rFonts w:ascii="Times New Roman" w:hAnsi="Times New Roman" w:cs="Times New Roman"/>
        </w:rPr>
        <w:t xml:space="preserve">+), hanno maggiore probabilità di sviluppare nel tempo una forma definita di SM rispetto ai pazienti </w:t>
      </w:r>
      <w:r>
        <w:rPr>
          <w:rFonts w:ascii="Times New Roman" w:hAnsi="Times New Roman" w:cs="Times New Roman"/>
        </w:rPr>
        <w:t>con bande o</w:t>
      </w:r>
      <w:r w:rsidRPr="00010F69">
        <w:rPr>
          <w:rFonts w:ascii="Times New Roman" w:hAnsi="Times New Roman" w:cs="Times New Roman"/>
        </w:rPr>
        <w:t>ligoclonali negative (</w:t>
      </w:r>
      <w:r>
        <w:rPr>
          <w:rFonts w:ascii="Times New Roman" w:hAnsi="Times New Roman" w:cs="Times New Roman"/>
        </w:rPr>
        <w:t>BOIgG</w:t>
      </w:r>
      <w:r w:rsidRPr="00010F69">
        <w:rPr>
          <w:rFonts w:ascii="Times New Roman" w:hAnsi="Times New Roman" w:cs="Times New Roman"/>
        </w:rPr>
        <w:t>-)</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"10.1177/1352458514568827", "ISBN" : "1477-0970 (Electronic)\\r1352-4585 (Linking)", "ISSN" : "1352-4585", "PMID" : "25680984", "abstract" : "BACKGROUND AND OBJECTIVE We explored which clinical and biochemical variables predict conversion from clinically isolated syndrome (CIS) to clinically definite multiple sclerosis (CDMS) in a large international cohort. METHODS Thirty-three centres provided serum samples from 1047 CIS cases with at least two years' follow-up. Age, sex, clinical presentation, T2-hyperintense lesions, cerebrospinal fluid (CSF) oligoclonal bands (OCBs), CSF IgG index, CSF cell count, serum 25-hydroxyvitamin D3 (25-OH-D), cotinine and IgG titres against Epstein-Barr nuclear antigen 1 (EBNA-1) and cytomegalovirus were tested for association with risk of CDMS. RESULTS At median follow-up of 4.31 years, 623 CIS cases converted to CDMS. Predictors of conversion in multivariable analyses were OCB (HR = 2.18, 95% CI = 1.71-2.77, p &lt; 0.001), number of T2 lesions (two to nine lesions vs 0/1 lesions: HR = 1.97, 95% CI = 1.52-2.55, p &lt; 0.001; &gt;9 lesions vs 0/1 lesions: HR = 2.74, 95% CI = 2.04-3.68, p &lt; 0.001) and age at CIS (HR per year inversely increase = 0.98, 95% CI = 0.98-0.99, p &lt; 0.001). Lower 25-OH-D levels were associated with CDMS in univariable analysis, but this was attenuated in the multivariable model. OCB positivity was associated with higher EBNA-1 IgG titres. CONCLUSIONS We validated MRI lesion load, OCB and age at CIS as the strongest independent predictors of conversion to CDMS in this multicentre setting. A role for vitamin D is suggested but requires further investigation.", "author" : [ { "dropping-particle" : "", "family" : "Kuhle", "given" : "J", "non-dropping-particle" : "", "parse-names" : false, "suffix" : "" }, { "dropping-particle" : "", "family" : "Disanto", "given" : "G", "non-dropping-particle" : "", "parse-names" : false, "suffix" : "" }, { "dropping-particle" : "", "family" : "Dobson", "given" : "R", "non-dropping-particle" : "", "parse-names" : false, "suffix" : "" }, { "dropping-particle" : "", "family" : "Adiutori", "given" : "R", "non-dropping-particle" : "", "parse-names" : false, "suffix" : "" }, { "dropping-particle" : "", "family" : "Bianchi", "given" : "L", "non-dropping-particle" : "", "parse-names" : false, "suffix" : "" }, { "dropping-particle" : "", "family" : "Topping", "given" : "J", "non-dropping-particle" : "", "parse-names" : false, "suffix" : "" }, { "dropping-particle" : "", "family" : "Bestwick", "given" : "JP", "non-dropping-particle" : "", "parse-names" : false, "suffix" : "" }, { "dropping-particle" : "", "family" : "Meier", "given" : "U-C", "non-dropping-particle" : "", "parse-names" : false, "suffix" : "" }, { "dropping-particle" : "", "family" : "Marta", "given" : "M", "non-dropping-particle" : "", "parse-names" : false, "suffix" : "" }, { "dropping-particle" : "", "family" : "Costa", "given" : "G Dalla", "non-dropping-particle" : "", "parse-names" : false, "suffix" : "" }, { "dropping-particle" : "", "family" : "Runia", "given" : "T", "non-dropping-particle" : "", "parse-names" : false, "suffix" : "" }, { "dropping-particle" : "", "family" : "Evdoshenko", "given" : "E", "non-dropping-particle" : "", "parse-names" : false, "suffix" : "" }, { "dropping-particle" : "", "family" : "Lazareva", "given" : "N", "non-dropping-particle" : "", "parse-names" : false, "suffix" : "" }, { "dropping-particle" : "", "family" : "Thouvenot", "given" : "E", "non-dropping-particle" : "", "parse-names" : false, "suffix" : "" }, { "dropping-particle" : "", "family" : "Iaffaldano", "given" : "P", "non-dropping-particle" : "", "parse-names" : false, "suffix" : "" }, { "dropping-particle" : "", "family" : "Direnzo", "given" : "V", "non-dropping-particle" : "", "parse-names" : false, "suffix" : "" }, { "dropping-particle" : "", "family" : "Khademi", "given" : "M", "non-dropping-particle" : "", "parse-names" : false, "suffix" : "" }, { "dropping-particle" : "", "family" : "Piehl", "given" : "F", "non-dropping-particle" : "", "parse-names" : false, "suffix" : "" }, { "dropping-particle" : "", "family" : "Comabella", "given" : "M", "non-dropping-particle" : "", "parse-names" : false, "suffix" : "" }, { "dropping-particle" : "", "family" : "Sombekke", "given" : "M", "non-dropping-particle" : "", "parse-names" : false, "suffix" : "" }, { "dropping-particle" : "", "family" : "Killestein", "given" : "J", "non-dropping-particle" : "", "parse-names" : false, "suffix" : "" }, { "dropping-particle" : "", "family" : "Hegen", "given" : "H", "non-dropping-particle" : "", "parse-names" : false, "suffix" : "" }, { "dropping-particle" : "", "family" : "Rauch", "given" : "S", "non-dropping-particle" : "", "parse-names" : false, "suffix" : "" }, { "dropping-particle" : "", "family" : "D\u2019Alfonso", "given" : "S", "non-dropping-particle" : "", "parse-names" : false, "suffix" : "" }, { "dropping-particle" : "", "family" : "Alvarez-Cerme\u00f1o", "given" : "JC", "non-dropping-particle" : "", "parse-names" : false, "suffix" : "" }, { "dropping-particle" : "", "family" : "Kleinov\u00e1", "given" : "P", "non-dropping-particle" : "", "parse-names" : false, "suffix" : "" }, { "dropping-particle" : "", "family" : "Hor\u00e1kov\u00e1", "given" : "D", "non-dropping-particle" : "", "parse-names" : false, "suffix" : "" }, { "dropping-particle" : "", "family" : "Roesler", "given" : "R", "non-dropping-particle" : "", "parse-names" : false, "suffix" : "" }, { "dropping-particle" : "", "family" : "Lauda", "given" : "F", "non-dropping-particle" : "", "parse-names" : false, "suffix" : "" }, { "dropping-particle" : "", "family" : "Llufriu", "given" : "S", "non-dropping-particle" : "", "parse-names" : false, "suffix" : "" }, { "dropping-particle" : "", "family" : "Avsar", "given" : "T", "non-dropping-particle" : "", "parse-names" : false, "suffix" : "" }, { "dropping-particle" : "", "family" : "Uygunoglu", "given" : "U", "non-dropping-particle" : "", "parse-names" : false, "suffix" : "" }, { "dropping-particle" : "", "family" : "Altintas", "given" : "A", "non-dropping-particle" : "", "parse-names" : false, "suffix" : "" }, { "dropping-particle" : "", "family" : "Saip", "given" : "S", "non-dropping-particle" : "", "parse-names" : false, "suffix" : "" }, { "dropping-particle" : "", "family" : "Menge", "given" : "T", "non-dropping-particle" : "", "parse-names" : false, "suffix" : "" }, { "dropping-particle" : "", "family" : "Rajda", "given" : "C", "non-dropping-particle" : "", "parse-names" : false, "suffix" : "" }, { "dropping-particle" : "", "family" : "Bergamaschi", "given" : "R", "non-dropping-particle" : "", "parse-names" : false, "suffix" : "" }, { "dropping-particle" : "", "family" : "Moll", "given" : "N", "non-dropping-particle" : "", "parse-names" : false, "suffix" : "" }, { "dropping-particle" : "", "family" : "Khalil", "given" : "M", "non-dropping-particle" : "", "parse-names" : false, "suffix" : "" }, { "dropping-particle" : "", "family" : "Marignier", "given" : "R", "non-dropping-particle" : "", "parse-names" : false, "suffix" : "" }, { "dropping-particle" : "", "family" : "Dujmovic", "given" : "I", "non-dropping-particle" : "", "parse-names" : false, "suffix" : "" }, { "dropping-particle" : "", "family" : "Larsson", "given" : "H", "non-dropping-particle" : "", "parse-names" : false, "suffix" : "" }, { "dropping-particle" : "", "family" : "Malmestrom", "given" : "C", "non-dropping-particle" : "", "parse-names" : false, "suffix" : "" }, { "dropping-particle" : "", "family" : "Scarpini", "given" : "E", "non-dropping-particle" : "", "parse-names" : false, "suffix" : "" }, { "dropping-particle" : "", "family" : "Fenoglio", "given" : "C", "non-dropping-particle" : "", "parse-names" : false, "suffix" : "" }, { "dropping-particle" : "", "family" : "Wergeland", "given" : "S", "non-dropping-particle" : "", "parse-names" : false, "suffix" : "" }, { "dropping-particle" : "", "family" : "Laroni", "given" : "A", "non-dropping-particle" : "", "parse-names" : false, "suffix" : "" }, { "dropping-particle" : "", "family" : "Annibali", "given" : "V", "non-dropping-particle" : "", "parse-names" : false, "suffix" : "" }, { "dropping-particle" : "", "family" : "Romano", "given" : "S", "non-dropping-particle" : "", "parse-names" : false, "suffix" : "" }, { "dropping-particle" : "", "family" : "Mart\u00ednez", "given" : "AD", "non-dropping-particle" : "", "parse-names" : false, "suffix" : "" }, { "dropping-particle" : "", "family" : "Carra", "given" : "A", "non-dropping-particle" : "", "parse-names" : false, "suffix" : "" }, { "dropping-particle" : "", "family" : "Salvetti", "given" : "M", "non-dropping-particle" : "", "parse-names" : false, "suffix" : "" }, { "dropping-particle" : "", "family" : "Uccelli", "given" : "A", "non-dropping-particle" : "", "parse-names" : false, "suffix" : "" }, { "dropping-particle" : "", "family" : "Torkildsen", "given" : "\u00d8", "non-dropping-particle" : "", "parse-names" : false, "suffix" : "" }, { "dropping-particle" : "", "family" : "Myhr", "given" : "KM", "non-dropping-particle" : "", "parse-names" : false, "suffix" : "" }, { "dropping-particle" : "", "family" : "Galimberti", "given" : "D", "non-dropping-particle" : "", "parse-names" : false, "suffix" : "" }, { "dropping-particle" : "", "family" : "Rejdak", "given" : "K", "non-dropping-particle" : "", "parse-names" : false, "suffix" : "" }, { "dropping-particle" : "", "family" : "Lycke", "given" : "J", "non-dropping-particle" : "", "parse-names" : false, "suffix" : "" }, { "dropping-particle" : "", "family" : "Frederiksen", "given" : "JL", "non-dropping-particle" : "", "parse-names" : false, "suffix" : "" }, { "dropping-particle" : "", "family" : "Drulovic", "given" : "J", "non-dropping-particle" : "", "parse-names" : false, "suffix" : "" }, { "dropping-particle" : "", "family" : "Confavreux", "given" : "C", "non-dropping-particle" : "", "parse-names" : false, "suffix" : "" }, { "dropping-particle" : "", "family" : "Brassat", "given" : "D", "non-dropping-particle" : "", "parse-names" : false, "suffix" : "" }, { "dropping-particle" : "", "family" : "Enzinger", "given" : "C", "non-dropping-particle" : "", "parse-names" : false, "suffix" : "" }, { "dropping-particle" : "", "family" : "Fuchs", "given" : "S", "non-dropping-particle" : "", "parse-names" : false, "suffix" : "" }, { "dropping-particle" : "", "family" : "Bosca", "given" : "I", "non-dropping-particle" : "", "parse-names" : false, "suffix" : "" }, { "dropping-particle" : "", "family" : "Pelletier", "given" : "J", "non-dropping-particle" : "", "parse-names" : false, "suffix" : "" }, { "dropping-particle" : "", "family" : "Picard", "given" : "C", "non-dropping-particle" : "", "parse-names" : false, "suffix" : "" }, { "dropping-particle" : "", "family" : "Colombo", "given" : "E", "non-dropping-particle" : "", "parse-names" : false, "suffix" : "" }, { "dropping-particle" : "", "family" : "Franciotta", "given" : "D", "non-dropping-particle" : "", "parse-names" : false, "suffix" : "" }, { "dropping-particle" : "", "family" : "Derfuss", "given" : "T", "non-dropping-particle" : "", "parse-names" : false, "suffix" : "" }, { "dropping-particle" : "", "family" : "Lindberg", "given" : "RLP", "non-dropping-particle" : "", "parse-names" : false, "suffix" : "" }, { "dropping-particle" : "", "family" : "Yaldizli", "given" : "\u00d6", "non-dropping-particle" : "", "parse-names" : false, "suffix" : "" }, { "dropping-particle" : "", "family" : "V\u00e9csei", "given" : "L", "non-dropping-particle" : "", "parse-names" : false, "suffix" : "" }, { "dropping-particle" : "", "family" : "Kieseier", "given" : "BC", "non-dropping-particle" : "", "parse-names" : false, "suffix" : "" }, { "dropping-particle" : "", "family" : "Hartung", "given" : "HP", "non-dropping-particle" : "", "parse-names" : false, "suffix" : "" }, { "dropping-particle" : "", "family" : "Villoslada", "given" : "P", "non-dropping-particle" : "", "parse-names" : false, "suffix" : "" }, { "dropping-particle" : "", "family" : "Siva", "given" : "A", "non-dropping-particle" : "", "parse-names" : false, "suffix" : "" }, { "dropping-particle" : "", "family" : "Saiz", "given" : "A", "non-dropping-particle" : "", "parse-names" : false, "suffix" : "" }, { "dropping-particle" : "", "family" : "Tumani", "given" : "H", "non-dropping-particle" : "", "parse-names" : false, "suffix" : "" }, { "dropping-particle" : "", "family" : "Havrdov\u00e1", "given" : "E", "non-dropping-particle" : "", "parse-names" : false, "suffix" : "" }, { "dropping-particle" : "", "family" : "Villar", "given" : "LM", "non-dropping-particle" : "", "parse-names" : false, "suffix" : "" }, { "dropping-particle" : "", "family" : "Leone", "given" : "M", "non-dropping-particle" : "", "parse-names" : false, "suffix" : "" }, { "dropping-particle" : "", "family" : "Barizzone", "given" : "N", "non-dropping-particle" : "", "parse-names" : false, "suffix" : "" }, { "dropping-particle" : "", "family" : "Deisenhammer", "given" : "F", "non-dropping-particle" : "", "parse-names" : false, "suffix" : "" }, { "dropping-particle" : "", "family" : "Teunissen", "given" : "C", "non-dropping-particle" : "", "parse-names" : false, "suffix" : "" }, { "dropping-particle" : "", "family" : "Montalban", "given" : "X", "non-dropping-particle" : "", "parse-names" : false, "suffix" : "" }, { "dropping-particle" : "", "family" : "Tintor\u00e9", "given" : "M", "non-dropping-particle" : "", "parse-names" : false, "suffix" : "" }, { "dropping-particle" : "", "family" : "Olsson", "given" : "T", "non-dropping-particle" : "", "parse-names" : false, "suffix" : "" }, { "dropping-particle" : "", "family" : "Trojano", "given" : "M", "non-dropping-particle" : "", "parse-names" : false, "suffix" : "" }, { "dropping-particle" : "", "family" : "Lehmann", "given" : "S", "non-dropping-particle" : "", "parse-names" : false, "suffix" : "" }, { "dropping-particle" : "", "family" : "Castelnovo", "given" : "G", "non-dropping-particle" : "", "parse-names" : false, "suffix" : "" }, { "dropping-particle" : "", "family" : "Lapin", "given" : "S", "non-dropping-particle" : "", "parse-names" : false, "suffix" : "" }, { "dropping-particle" : "", "family" : "Hintzen", "given" : "R", "non-dropping-particle" : "", "parse-names" : false, "suffix" : "" }, { "dropping-particle" : "", "family" : "Kappos", "given" : "L", "non-dropping-particle" : "", "parse-names" : false, "suffix" : "" }, { "dropping-particle" : "", "family" : "Furlan", "given" : "R", "non-dropping-particle" : "", "parse-names" : false, "suffix" : "" }, { "dropping-particle" : "", "family" : "Martinelli", "given" : "V", "non-dropping-particle" : "", "parse-names" : false, "suffix" : "" }, { "dropping-particle" : "", "family" : "Comi", "given" : "G", "non-dropping-particle" : "", "parse-names" : false, "suffix" : "" }, { "dropping-particle" : "", "family" : "Ramagopalan", "given" : "SV", "non-dropping-particle" : "", "parse-names" : false, "suffix" : "" }, { "dropping-particle" : "", "family" : "Giovannoni", "given" : "G", "non-dropping-particle" : "", "parse-names" : false, "suffix" : "" } ], "container-title" : "Multiple Sclerosis Journal", "id" : "ITEM-1", "issue" : "8", "issued" : { "date-parts" : [ [ "2015" ] ] }, "page" : "1013-1024", "title" : "Conversion from clinically isolated syndrome to multiple sclerosis: A large multicentre study", "type" : "article-journal", "volume" : "21" }, "uris" : [ "http://www.mendeley.com/documents/?uuid=c3e20a17-dc6d-441c-acd6-402c7621dfe8" ] } ], "mendeley" : { "formattedCitation" : "&lt;sup&gt;74&lt;/sup&gt;", "plainTextFormattedCitation" : "74", "previouslyFormattedCitation" : "&lt;sup&gt;74&lt;/sup&gt;" }, "properties" : { "noteIndex" : 0 }, "schema" : "https://github.com/citation-style-language/schema/raw/master/csl-citation.json" }</w:instrText>
      </w:r>
      <w:r w:rsidRPr="006C2258">
        <w:rPr>
          <w:rStyle w:val="Apice1"/>
        </w:rPr>
        <w:fldChar w:fldCharType="separate"/>
      </w:r>
      <w:r w:rsidRPr="006C2258">
        <w:rPr>
          <w:rStyle w:val="Apice1"/>
          <w:noProof/>
        </w:rPr>
        <w:t>74</w:t>
      </w:r>
      <w:r w:rsidRPr="006C2258">
        <w:rPr>
          <w:rStyle w:val="Apice1"/>
        </w:rPr>
        <w:fldChar w:fldCharType="end"/>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w:t>
      </w:r>
      <w:r w:rsidRPr="00010F69">
        <w:rPr>
          <w:rFonts w:ascii="Times New Roman" w:hAnsi="Times New Roman" w:cs="Times New Roman"/>
        </w:rPr>
        <w:tab/>
        <w:t xml:space="preserve">i pazienti che presentano un maggior numero di </w:t>
      </w:r>
      <w:r>
        <w:rPr>
          <w:rFonts w:ascii="Times New Roman" w:hAnsi="Times New Roman" w:cs="Times New Roman"/>
        </w:rPr>
        <w:t>BOIgG</w:t>
      </w:r>
      <w:r w:rsidRPr="00010F69">
        <w:rPr>
          <w:rFonts w:ascii="Times New Roman" w:hAnsi="Times New Roman" w:cs="Times New Roman"/>
        </w:rPr>
        <w:t xml:space="preserve"> hanno consensualmente una maggiore probab</w:t>
      </w:r>
      <w:r>
        <w:rPr>
          <w:rFonts w:ascii="Times New Roman" w:hAnsi="Times New Roman" w:cs="Times New Roman"/>
        </w:rPr>
        <w:t>ilità di passare da una forma “relapsing-r</w:t>
      </w:r>
      <w:r w:rsidRPr="00010F69">
        <w:rPr>
          <w:rFonts w:ascii="Times New Roman" w:hAnsi="Times New Roman" w:cs="Times New Roman"/>
        </w:rPr>
        <w:t>emitti</w:t>
      </w:r>
      <w:r>
        <w:rPr>
          <w:rFonts w:ascii="Times New Roman" w:hAnsi="Times New Roman" w:cs="Times New Roman"/>
        </w:rPr>
        <w:t>ng” di SM (RRSM) ad una forma “secondary p</w:t>
      </w:r>
      <w:r w:rsidRPr="00010F69">
        <w:rPr>
          <w:rFonts w:ascii="Times New Roman" w:hAnsi="Times New Roman" w:cs="Times New Roman"/>
        </w:rPr>
        <w:t>rogressive” (SPSM)</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"10.1007/s00415-010-5490-y", "ISBN" : "0041501055", "ISSN" : "03405354", "PMID" : "20376472", "abstract" : "The objective of the study was to evaluate whether the presence of oligoclonal bands (OB) adds information in predicting CIS conversion to clinical definite multiple sclerosis (CDMS) and conversion time to CDMS. From 1998 to 2006, CIS patients were included in a prospective study. Patients underwent brain MRI and OB determination within 2 months of the first demyelinating event. We analyzed conversion to CDMS and time to conversion to CDMS according to abnormal MRI and the presence of OB. Forty patients were included. Fifteen patients (37%) converted to CDMS; 14 of them (93.3%) had abnormal baseline MRI (P = 0.01, RR = 5.9; 95% CI 1.3-10.1) and 13 (86.7%) had positive OB in CSF (P = &lt;0.01, RR = 5.3; 95% CI 1.6-9.5). The risk of conversion to CDMS in patients with positive OB and abnormal baseline MRI was significantly higher compared to patients negative for both tests or with only one positive (RR = 9.1; 95% CI 3.5-14.6). Time to conversion to CDMS was 6.8 +/- 3.5 months for patients with OB and abnormal baseline MRI and 19 +/- 14 months for patients with only one abnormal test. CIS patients with abnormal baseline OB in CSF have a higher risk for developing CDMS. Regarding conversion time to CDMS, when abnormal MRI was added to positive OB, patients converted faster (mean time, 6 vs. 19 months). This information may be useful when considering treatment in CIS patients.", "author" : [ { "dropping-particle" : "", "family" : "Ignacio", "given" : "Rojas Juan", "non-dropping-particle" : "", "parse-names" : false, "suffix" : "" }, { "dropping-particle" : "", "family" : "Liliana", "given" : "Patrucco", "non-dropping-particle" : "", "parse-names" : false, "suffix" : "" }, { "dropping-particle" : "", "family" : "Edgardo", "given" : "Cristiano", "non-dropping-particle" : "", "parse-names" : false, "suffix" : "" } ], "container-title" : "Journal of Neurology", "id" : "ITEM-1", "issue" : "7", "issued" : { "date-parts" : [ [ "2010" ] ] }, "page" : "1188-1191", "title" : "Oligoclonal bands and MRI in clinically isolated syndromes: Predicting conversion time to multiple sclerosis", "type" : "article-journal", "volume" : "257" }, "uris" : [ "http://www.mendeley.com/documents/?uuid=6320dd15-ba35-4f3b-8343-190d703f0ed4" ] }, { "id" : "ITEM-2", "itemData" : { "DOI" : "10.1179/1743132812Y.0000000088", "ISSN" : "0161-6412", "PMID" : "22909670", "abstract" : "INTRODUCTION: Cerebrospinal fluid (CSF) oligoclonal bands (OB) imply intrathecal immunoglobulin synthesis and B-cell immune process. There is scarce evidence of OB having a role in disease prognosis. The objective of the present study was to determine OB's prognostic value regarding disease progression. METHODS: Between January 1994 and January 2007, relapsing-remitting MS (RRMS) patients in which OB were determined were included. Demographic, clinical aspects and presence of OB were analyzed. We compared OB+ versus OB- patients regarding progression to expanded disability status scale (EDSS) of 6.0 and to secondary progressive MS (SPMS). Cox proportional hazard models were used to compare the outcome between groups. P values &lt;0.05 were considered significant. RESULTS: One hundred and ninety-six patients were included. In 176 patients (90%), the CSF showed type II OB, 20 (10%) patients were OB negative. There were no differences between age, clinical presentation and EDSS at onset or in the immunomodulatory treatment received between OB+ and OB- patients. Sixty-two (31.6%) patients converted to SPMS during the follow-up, 59 (33.5%) were OB+ and 3 (15%) were OB-. EDSS of 6 was recorded in 56 (28.5%) patients during the follow-up; 54 (31%) were OB+ while only 2 (10%) OB- patients reached this outcome (reach SP phase, P = 0.032; HR: 2.2; 95% CI: 1.3-7.5 and EDSS of 6, P = 0.037; HR: 1.9; 95% CI: 1.3-8.5). CONCLUSION: We observed during the follow-up that OB- patients had a better prognosis and milder disability compared to OB+ patients.", "author" : [ { "dropping-particle" : "", "family" : "Rojas*", "given" : "J I", "non-dropping-particle" : "", "parse-names" : false, "suffix" : "" }, { "dropping-particle" : "", "family" : "Tizio*", "given" : "S", "non-dropping-particle" : "", "parse-names" : false, "suffix" : "" }, { "dropping-particle" : "", "family" : "Patrucco", "given" : "L", "non-dropping-particle" : "", "parse-names" : false, "suffix" : "" }, { "dropping-particle" : "", "family" : "Cristiano", "given" : "E", "non-dropping-particle" : "", "parse-names" : false, "suffix" : "" } ], "container-title" : "Neurological Research", "id" : "ITEM-2", "issue" : "9", "issued" : { "date-parts" : [ [ "2012" ] ] }, "page" : "889-892", "title" : "Oligoclonal bands in multiple sclerosis patients: worse prognosis?", "type" : "article-journal", "volume" : "34" }, "uris" : [ "http://www.mendeley.com/documents/?uuid=060b95e6-3513-4f25-bde7-90fd726117ea" ] } ], "mendeley" : { "formattedCitation" : "&lt;sup&gt;75,76&lt;/sup&gt;", "plainTextFormattedCitation" : "75,76", "previouslyFormattedCitation" : "&lt;sup&gt;75,76&lt;/sup&gt;" }, "properties" : { "noteIndex" : 0 }, "schema" : "https://github.com/citation-style-language/schema/raw/master/csl-citation.json" }</w:instrText>
      </w:r>
      <w:r w:rsidRPr="006C2258">
        <w:rPr>
          <w:rStyle w:val="Apice1"/>
        </w:rPr>
        <w:fldChar w:fldCharType="separate"/>
      </w:r>
      <w:r w:rsidRPr="006C2258">
        <w:rPr>
          <w:rStyle w:val="Apice1"/>
          <w:noProof/>
        </w:rPr>
        <w:t>75,76</w:t>
      </w:r>
      <w:r w:rsidRPr="006C2258">
        <w:rPr>
          <w:rStyle w:val="Apice1"/>
        </w:rPr>
        <w:fldChar w:fldCharType="end"/>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w:t>
      </w:r>
      <w:r w:rsidRPr="00010F69">
        <w:rPr>
          <w:rFonts w:ascii="Times New Roman" w:hAnsi="Times New Roman" w:cs="Times New Roman"/>
        </w:rPr>
        <w:tab/>
        <w:t xml:space="preserve">vi è una correlazione tra il numero di </w:t>
      </w:r>
      <w:r>
        <w:rPr>
          <w:rFonts w:ascii="Times New Roman" w:hAnsi="Times New Roman" w:cs="Times New Roman"/>
        </w:rPr>
        <w:t>BOIgG</w:t>
      </w:r>
      <w:r w:rsidRPr="00010F69">
        <w:rPr>
          <w:rFonts w:ascii="Times New Roman" w:hAnsi="Times New Roman" w:cs="Times New Roman"/>
        </w:rPr>
        <w:t xml:space="preserve"> e la gravità di patologia. In particolare, sembra che un maggior numero di </w:t>
      </w:r>
      <w:r>
        <w:rPr>
          <w:rFonts w:ascii="Times New Roman" w:hAnsi="Times New Roman" w:cs="Times New Roman"/>
        </w:rPr>
        <w:t>BOIgG</w:t>
      </w:r>
      <w:r w:rsidRPr="00010F69">
        <w:rPr>
          <w:rFonts w:ascii="Times New Roman" w:hAnsi="Times New Roman" w:cs="Times New Roman"/>
        </w:rPr>
        <w:t xml:space="preserve"> possa correlarsi ad una maggiore disabilità a lungo termine</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"10.1179/1743132812Y.0000000088", "ISSN" : "0161-6412", "PMID" : "22909670", "abstract" : "INTRODUCTION: Cerebrospinal fluid (CSF) oligoclonal bands (OB) imply intrathecal immunoglobulin synthesis and B-cell immune process. There is scarce evidence of OB having a role in disease prognosis. The objective of the present study was to determine OB's prognostic value regarding disease progression. METHODS: Between January 1994 and January 2007, relapsing-remitting MS (RRMS) patients in which OB were determined were included. Demographic, clinical aspects and presence of OB were analyzed. We compared OB+ versus OB- patients regarding progression to expanded disability status scale (EDSS) of 6.0 and to secondary progressive MS (SPMS). Cox proportional hazard models were used to compare the outcome between groups. P values &lt;0.05 were considered significant. RESULTS: One hundred and ninety-six patients were included. In 176 patients (90%), the CSF showed type II OB, 20 (10%) patients were OB negative. There were no differences between age, clinical presentation and EDSS at onset or in the immunomodulatory treatment received between OB+ and OB- patients. Sixty-two (31.6%) patients converted to SPMS during the follow-up, 59 (33.5%) were OB+ and 3 (15%) were OB-. EDSS of 6 was recorded in 56 (28.5%) patients during the follow-up; 54 (31%) were OB+ while only 2 (10%) OB- patients reached this outcome (reach SP phase, P = 0.032; HR: 2.2; 95% CI: 1.3-7.5 and EDSS of 6, P = 0.037; HR: 1.9; 95% CI: 1.3-8.5). CONCLUSION: We observed during the follow-up that OB- patients had a better prognosis and milder disability compared to OB+ patients.", "author" : [ { "dropping-particle" : "", "family" : "Rojas*", "given" : "J I", "non-dropping-particle" : "", "parse-names" : false, "suffix" : "" }, { "dropping-particle" : "", "family" : "Tizio*", "given" : "S", "non-dropping-particle" : "", "parse-names" : false, "suffix" : "" }, { "dropping-particle" : "", "family" : "Patrucco", "given" : "L", "non-dropping-particle" : "", "parse-names" : false, "suffix" : "" }, { "dropping-particle" : "", "family" : "Cristiano", "given" : "E", "non-dropping-particle" : "", "parse-names" : false, "suffix" : "" } ], "container-title" : "Neurological Research", "id" : "ITEM-1", "issue" : "9", "issued" : { "date-parts" : [ [ "2012" ] ] }, "page" : "889-892", "title" : "Oligoclonal bands in multiple sclerosis patients: worse prognosis?", "type" : "article-journal", "volume" : "34" }, "uris" : [ "http://www.mendeley.com/documents/?uuid=060b95e6-3513-4f25-bde7-90fd726117ea" ] }, { "id" : "ITEM-2", "itemData" : { "DOI" : "10.1136/jnnp.2008.150896", "ISBN" : "1468-330X (Electronic)\\r0022-3050 (Linking)", "ISSN" : "0022-3050", "PMID" : "18829628", "abstract" : "OBJECTIVE: Oligoclonal band (OCB) negative multiple sclerosis (MS) is well recognised but uncommon, studied in only a few usually small case series. These reached differing conclusions on whether its clinical features or course differ from OCB positive disease. The study hypothesis was that a definitive study would not only be of clinical and prognostic value but also potentially offer information about the possible role of CSF oligoclonal immunoglobulins in MS disease processes.\\n\\nMETHODS: A collaborative cohort of well documented patients in southwest England and south Wales was used to identify and analyse a large group of patients with OCB negative MS and make comparisons with age and sex matched OCB positive controls.\\n\\nRESULTS: An approximate minimum 3% of patients with MS were OCB negative. They were significantly more likely to exhibit neurological or systemic clinical features atypical of MS (headaches, neuropsychiatric features and skin changes). Non-specific MRI, blood and (other) CSF abnormalities were also more common, emphasising the need for continued diagnostic vigilance, although the incautious application of McDonald diagnostic criteria in OCB negative cases renders categorisation as \"definite\" MS more likely. Studying the uniformly assessed Cardiff group (69 patients), we found the prognosis for neurological disability was significantly better for OCB negative cases. The age adjusted hazard ratio for OCB negative and OCB positive subjects to reach Disability Scale Status (DSS) 4 and DSS 6 was, respectively, 0.60 (95% CI 0.39 to 0.93; p = 0.02) and 0.51 (95% CI 0.27 to 0.94; p = 0.03).\\n\\nCONCLUSION: There are clear clinical differences between OCB negative and OCB positive MS, in particular a better prognosis for disability. This is consistent with a secondary but nonetheless contributory role in disease process for intrathecally synthesised immunoglobulins.", "author" : [ { "dropping-particle" : "", "family" : "Joseph", "given" : "F G", "non-dropping-particle" : "", "parse-names" : false, "suffix" : "" }, { "dropping-particle" : "", "family" : "Hirst", "given" : "C L", "non-dropping-particle" : "", "parse-names" : false, "suffix" : "" }, { "dropping-particle" : "", "family" : "Pickersgill", "given" : "T P", "non-dropping-particle" : "", "parse-names" : false, "suffix" : "" }, { "dropping-particle" : "", "family" : "Ben-Shlomo", "given" : "Y", "non-dropping-particle" : "", "parse-names" : false, "suffix" : "" }, { "dropping-particle" : "", "family" : "Robertson", "given" : "N P", "non-dropping-particle" : "", "parse-names" : false, "suffix" : "" }, { "dropping-particle" : "", "family" : "Scolding", "given" : "N J", "non-dropping-particle" : "", "parse-names" : false, "suffix" : "" } ], "container-title" : "Journal of Neurology, Neurosurgery &amp; Psychiatry", "id" : "ITEM-2", "issue" : "3", "issued" : { "date-parts" : [ [ "2009" ] ] }, "page" : "292-296", "title" : "CSF oligoclonal band status informs prognosis in multiple sclerosis: a case control study of 100 patients", "type" : "article-journal", "volume" : "80" }, "uris" : [ "http://www.mendeley.com/documents/?uuid=0991e71b-0c92-462f-9d1e-563ac8cec45f" ] }, { "id" : "ITEM-3", "itemData" : { "DOI" : "10.1186/s12974-017-0812-y", "ISBN" : "2010231325", "ISSN" : "1742-2094", "PMID" : "28222766", "abstract" : "\u00a9 2016 Springer-Verlag WienMigration is a key cellular function with important implications in cell physiology. Impairment of such function is observed in angiogenesis, cancer, central nervous system development, and many other physiological and pathological events. Serum is considered among the most potent physiological chemotactic stimuli. Transglutaminase 2 (TG2) is involved in most of the mentioned processes, suggesting the hypothesis that TG2 may modulate cell movement and chemotaxis by acting on serum factors. Cell biology and biochemistry studies confirmed this hypothesis, showing that human serum contains potent chemotactic signals significantly impaired by activated TG2. Bioinformatics studies indicated that one potent serum factor potential substrate of TG2-dependent transamidation is platelet-derived growth factor-BB (PDGF-BB). Cell biology and immunometric experiments carried out with U87MG human glioma cell line showed that human recombinant PDGF-BB pre-incubated with calcium-activated TG2 lost about 70 % of its chemotactic activity and antigenicity. These data indicate that PDGF-BB is a substrate of TG2-transamidating activity, and such modification may play a key role in the modulation of PDGF\u2019s chemotactic features. Further, these findings suggest a novel point of view to study the extracellular functions of TG2 and to understand how protein signals, such as growth factors and cytokines, act in the extracellular space to reach their specific targets.", "author" : [ { "dropping-particle" : "", "family" : "Farina", "given" : "Gabriele", "non-dropping-particle" : "", "parse-names" : false, "suffix" : "" }, { "dropping-particle" : "", "family" : "Magliozzi", "given" : "Roberta", "non-dropping-particle" : "", "parse-names" : false, "suffix" : "" }, { "dropping-particle" : "", "family" : "Pitteri", "given" : "Marco", "non-dropping-particle" : "", "parse-names" : false, "suffix" : "" }, { "dropping-particle" : "", "family" : "Reynolds", "given" : "Richard", "non-dropping-particle" : "", "parse-names" : false, "suffix" : "" }, { "dropping-particle" : "", "family" : "Rossi", "given" : "Stefania", "non-dropping-particle" : "", "parse-names" : false, "suffix" : "" }, { "dropping-particle" : "", "family" : "Gajofatto", "given" : "Alberto", "non-dropping-particle" : "", "parse-names" : false, "suffix" : "" }, { "dropping-particle" : "", "family" : "Benedetti", "given" : "Maria Donata", "non-dropping-particle" : "", "parse-names" : false, "suffix" : "" }, { "dropping-particle" : "", "family" : "Facchiano", "given" : "Francesco", "non-dropping-particle" : "", "parse-names" : false, "suffix" : "" }, { "dropping-particle" : "", "family" : "Monaco", "given" : "Salvatore", "non-dropping-particle" : "", "parse-names" : false, "suffix" : "" }, { "dropping-particle" : "", "family" : "Calabrese", "given" : "Massimiliano", "non-dropping-particle" : "", "parse-names" : false, "suffix" : "" } ], "container-title" : "Journal of Neuroinflammation", "id" : "ITEM-3", "issue" : "1", "issued" : { "date-parts" : [ [ "2017" ] ] }, "page" : "40", "title" : "Increased cortical lesion load and intrathecal inflammation is associated with oligoclonal bands in multiple sclerosis patients: a combined CSF and MRI study", "type" : "article-journal", "volume" : "14" }, "uris" : [ "http://www.mendeley.com/documents/?uuid=66006ca4-3ef8-4e8b-a3fd-dce6e341a40d" ] } ], "mendeley" : { "formattedCitation" : "&lt;sup&gt;76\u201378&lt;/sup&gt;", "plainTextFormattedCitation" : "76\u201378", "previouslyFormattedCitation" : "&lt;sup&gt;76\u201378&lt;/sup&gt;" }, "properties" : { "noteIndex" : 0 }, "schema" : "https://github.com/citation-style-language/schema/raw/master/csl-citation.json" }</w:instrText>
      </w:r>
      <w:r w:rsidRPr="006C2258">
        <w:rPr>
          <w:rStyle w:val="Apice1"/>
        </w:rPr>
        <w:fldChar w:fldCharType="separate"/>
      </w:r>
      <w:r w:rsidRPr="006C2258">
        <w:rPr>
          <w:rStyle w:val="Apice1"/>
          <w:noProof/>
        </w:rPr>
        <w:t>76–78</w:t>
      </w:r>
      <w:r w:rsidRPr="006C2258">
        <w:rPr>
          <w:rStyle w:val="Apice1"/>
        </w:rPr>
        <w:fldChar w:fldCharType="end"/>
      </w:r>
    </w:p>
    <w:p w:rsidR="00BD0D01" w:rsidRPr="00010F69" w:rsidRDefault="00BD0D01" w:rsidP="00BD0D01">
      <w:pPr>
        <w:widowControl w:val="0"/>
        <w:autoSpaceDE w:val="0"/>
        <w:autoSpaceDN w:val="0"/>
        <w:adjustRightInd w:val="0"/>
        <w:spacing w:after="240" w:line="360" w:lineRule="auto"/>
        <w:ind w:left="1134"/>
        <w:jc w:val="both"/>
        <w:rPr>
          <w:rFonts w:ascii="Times New Roman" w:hAnsi="Times New Roman" w:cs="Times New Roman"/>
        </w:rPr>
      </w:pPr>
      <w:r w:rsidRPr="00010F69">
        <w:rPr>
          <w:rFonts w:ascii="Times New Roman" w:hAnsi="Times New Roman" w:cs="Times New Roman"/>
        </w:rPr>
        <w:t>•</w:t>
      </w:r>
      <w:r w:rsidRPr="00010F69">
        <w:rPr>
          <w:rFonts w:ascii="Times New Roman" w:hAnsi="Times New Roman" w:cs="Times New Roman"/>
        </w:rPr>
        <w:tab/>
        <w:t>in concordanza con il primo punto, nella popolazione pediatrica la presenza di BOC nel liquor di bambini affetti da neurite ottica, correla con una maggiore probabilità di sviluppo di SM</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"10.1002/ana.24409", "ISBN" : "0364-5134", "ISSN" : "15318249", "PMID" : "25820181", "abstract" : "We retrospectively evaluated predictors of conversion to multiple sclerosis (MS) in 357 children with isolated optic neuritis (ON) as a first demyelinating event who had a median follow-up of 4.0 years. Multiple Cox proportional-hazards regressions revealed abnormal cranial magnet resonance imaging (cMRI; hazard ratio [HR]\u2009=\u20095.94, 95% confidence interval [CI]\u2009=\u20093.39-10.39, p\u2009&lt;\u20090.001), presence of cerebrospinal fluid immunoglobulin G oligoclonal bands (OCB; HR\u2009=\u20093.69, 95% CI\u2009=\u20092.32-5.86, p\u2009&lt;\u20090.001), and age (HR\u2009=\u20091.08 per year of age, 95% CI\u2009=\u20091.02-1.13, p\u2009=\u20090.003) as independent predictors of conversion, whereas sex and laterality (unilateral vs bilateral) had no influence. Combined cMRI and OCB positivity indicated a 26.84-fold higher HR for developing MS compared to double negativity (95% CI\u2009=\u200912.26-58.74, p\u2009&lt;\u20090.001). Accordingly, cerebrospinal fluid analysis may supplement cMRI to determine the risk of MS in children with isolated ON. Ann Neurol 2015.", "author" : [ { "dropping-particle" : "", "family" : "Heussinger", "given" : "Nicole", "non-dropping-particle" : "", "parse-names" : false, "suffix" : "" }, { "dropping-particle" : "", "family" : "Kontopantelis", "given" : "Evangelos", "non-dropping-particle" : "", "parse-names" : false, "suffix" : "" }, { "dropping-particle" : "", "family" : "Gburek-Augustat", "given" : "Janina", "non-dropping-particle" : "", "parse-names" : false, "suffix" : "" }, { "dropping-particle" : "", "family" : "Jenke", "given" : "Andreas", "non-dropping-particle" : "", "parse-names" : false, "suffix" : "" }, { "dropping-particle" : "", "family" : "Vollrath", "given" : "Gesa", "non-dropping-particle" : "", "parse-names" : false, "suffix" : "" }, { "dropping-particle" : "", "family" : "Korinthenberg", "given" : "Rudolf", "non-dropping-particle" : "", "parse-names" : false, "suffix" : "" }, { "dropping-particle" : "", "family" : "Hofstetter", "given" : "Peter", "non-dropping-particle" : "", "parse-names" : false, "suffix" : "" }, { "dropping-particle" : "", "family" : "Meyer", "given" : "Sascha", "non-dropping-particle" : "", "parse-names" : false, "suffix" : "" }, { "dropping-particle" : "", "family" : "Brecht", "given" : "Isabel", "non-dropping-particle" : "", "parse-names" : false, "suffix" : "" }, { "dropping-particle" : "", "family" : "Kornek", "given" : "Barbara", "non-dropping-particle" : "", "parse-names" : false, "suffix" : "" }, { "dropping-particle" : "", "family" : "Herkenrath", "given" : "Peter", "non-dropping-particle" : "", "parse-names" : false, "suffix" : "" }, { "dropping-particle" : "", "family" : "Schimmel", "given" : "Mareike", "non-dropping-particle" : "", "parse-names" : false, "suffix" : "" }, { "dropping-particle" : "", "family" : "Wenner", "given" : "Kirsten", "non-dropping-particle" : "", "parse-names" : false, "suffix" : "" }, { "dropping-particle" : "", "family" : "H\u00e4usler", "given" : "Martin", "non-dropping-particle" : "", "parse-names" : false, "suffix" : "" }, { "dropping-particle" : "", "family" : "Lutz", "given" : "Soeren", "non-dropping-particle" : "", "parse-names" : false, "suffix" : "" }, { "dropping-particle" : "", "family" : "Karenfort", "given" : "Michael", "non-dropping-particle" : "", "parse-names" : false, "suffix" : "" }, { "dropping-particle" : "", "family" : "Blaschek", "given" : "Astrid", "non-dropping-particle" : "", "parse-names" : false, "suffix" : "" }, { "dropping-particle" : "", "family" : "Smitka", "given" : "Martin", "non-dropping-particle" : "", "parse-names" : false, "suffix" : "" }, { "dropping-particle" : "", "family" : "Karch", "given" : "Stephanie", "non-dropping-particle" : "", "parse-names" : false, "suffix" : "" }, { "dropping-particle" : "", "family" : "Piepkorn", "given" : "Martin", "non-dropping-particle" : "", "parse-names" : false, "suffix" : "" }, { "dropping-particle" : "", "family" : "Rostasy", "given" : "Kevin", "non-dropping-particle" : "", "parse-names" : false, "suffix" : "" }, { "dropping-particle" : "", "family" : "L\u00fccke", "given" : "Thomas", "non-dropping-particle" : "", "parse-names" : false, "suffix" : "" }, { "dropping-particle" : "", "family" : "Weber", "given" : "Peter", "non-dropping-particle" : "", "parse-names" : false, "suffix" : "" }, { "dropping-particle" : "", "family" : "Trollmann", "given" : "Regina", "non-dropping-particle" : "", "parse-names" : false, "suffix" : "" }, { "dropping-particle" : "", "family" : "Klepper", "given" : "J\u00f6rg", "non-dropping-particle" : "", "parse-names" : false, "suffix" : "" }, { "dropping-particle" : "", "family" : "H\u00e4ussler", "given" : "Martin", "non-dropping-particle" : "", "parse-names" : false, "suffix" : "" }, { "dropping-particle" : "", "family" : "Hofmann", "given" : "Regina", "non-dropping-particle" : "", "parse-names" : false, "suffix" : "" }, { "dropping-particle" : "", "family" : "Weissert", "given" : "Robert", "non-dropping-particle" : "", "parse-names" : false, "suffix" : "" }, { "dropping-particle" : "", "family" : "Merkenschlager", "given" : "Andreas", "non-dropping-particle" : "", "parse-names" : false, "suffix" : "" }, { "dropping-particle" : "", "family" : "Buttmann", "given" : "Mathias", "non-dropping-particle" : "", "parse-names" : false, "suffix" : "" } ], "container-title" : "Annals of Neurology", "id" : "ITEM-1", "issue" : "6", "issued" : { "date-parts" : [ [ "2015" ] ] }, "page" : "1076-1082", "title" : "Oligoclonal bands predict multiple sclerosis in children with optic neuritis", "type" : "article-journal", "volume" : "77" }, "uris" : [ "http://www.mendeley.com/documents/?uuid=ac2f845e-5d78-4ca9-95a9-ba36242549e4" ] } ], "mendeley" : { "formattedCitation" : "&lt;sup&gt;79&lt;/sup&gt;", "plainTextFormattedCitation" : "79", "previouslyFormattedCitation" : "&lt;sup&gt;79&lt;/sup&gt;" }, "properties" : { "noteIndex" : 0 }, "schema" : "https://github.com/citation-style-language/schema/raw/master/csl-citation.json" }</w:instrText>
      </w:r>
      <w:r w:rsidRPr="006C2258">
        <w:rPr>
          <w:rStyle w:val="Apice1"/>
        </w:rPr>
        <w:fldChar w:fldCharType="separate"/>
      </w:r>
      <w:r w:rsidRPr="006C2258">
        <w:rPr>
          <w:rStyle w:val="Apice1"/>
          <w:noProof/>
        </w:rPr>
        <w:t>79</w:t>
      </w:r>
      <w:r w:rsidRPr="006C2258">
        <w:rPr>
          <w:rStyle w:val="Apice1"/>
        </w:rPr>
        <w:fldChar w:fldCharType="end"/>
      </w:r>
    </w:p>
    <w:p w:rsidR="00BD0D01" w:rsidRDefault="00BD0D01" w:rsidP="00BD0D01">
      <w:pPr>
        <w:pStyle w:val="TitoloTesi3"/>
      </w:pPr>
      <w:bookmarkStart w:id="2" w:name="_Toc486517425"/>
      <w:bookmarkStart w:id="3" w:name="_GoBack"/>
      <w:bookmarkEnd w:id="3"/>
      <w:r w:rsidRPr="00010F69">
        <w:t xml:space="preserve">ULTERIORI INDAGINI </w:t>
      </w:r>
      <w:r>
        <w:t>NELLA DIAGNOSTICA DELLA</w:t>
      </w:r>
      <w:r w:rsidRPr="00010F69">
        <w:t xml:space="preserve"> SCLEROSI MULTIPLA</w:t>
      </w:r>
      <w:bookmarkEnd w:id="2"/>
    </w:p>
    <w:p w:rsidR="00BD0D01" w:rsidRPr="00010F69" w:rsidRDefault="00BD0D01" w:rsidP="00BD0D01">
      <w:pPr>
        <w:pStyle w:val="TitoloTesi2"/>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 xml:space="preserve">Ulteriori indagini possono coadiuvare </w:t>
      </w:r>
      <w:r>
        <w:rPr>
          <w:rFonts w:ascii="Times New Roman" w:hAnsi="Times New Roman" w:cs="Times New Roman"/>
        </w:rPr>
        <w:t>il</w:t>
      </w:r>
      <w:r w:rsidRPr="00010F69">
        <w:rPr>
          <w:rFonts w:ascii="Times New Roman" w:hAnsi="Times New Roman" w:cs="Times New Roman"/>
        </w:rPr>
        <w:t xml:space="preserve"> processo di diagnosi di </w:t>
      </w:r>
      <w:r>
        <w:rPr>
          <w:rFonts w:ascii="Times New Roman" w:hAnsi="Times New Roman" w:cs="Times New Roman"/>
        </w:rPr>
        <w:t>s</w:t>
      </w:r>
      <w:r w:rsidRPr="00010F69">
        <w:rPr>
          <w:rFonts w:ascii="Times New Roman" w:hAnsi="Times New Roman" w:cs="Times New Roman"/>
        </w:rPr>
        <w:t xml:space="preserve">clerosi </w:t>
      </w:r>
      <w:r>
        <w:rPr>
          <w:rFonts w:ascii="Times New Roman" w:hAnsi="Times New Roman" w:cs="Times New Roman"/>
        </w:rPr>
        <w:t>m</w:t>
      </w:r>
      <w:r w:rsidRPr="00010F69">
        <w:rPr>
          <w:rFonts w:ascii="Times New Roman" w:hAnsi="Times New Roman" w:cs="Times New Roman"/>
        </w:rPr>
        <w:t xml:space="preserve">ultipla. I potenziali evocati visivi </w:t>
      </w:r>
      <w:r>
        <w:rPr>
          <w:rFonts w:ascii="Times New Roman" w:hAnsi="Times New Roman" w:cs="Times New Roman"/>
        </w:rPr>
        <w:t>(</w:t>
      </w:r>
      <w:r w:rsidRPr="00010F69">
        <w:rPr>
          <w:rFonts w:ascii="Times New Roman" w:hAnsi="Times New Roman" w:cs="Times New Roman"/>
        </w:rPr>
        <w:t>PEV</w:t>
      </w:r>
      <w:r>
        <w:rPr>
          <w:rFonts w:ascii="Times New Roman" w:hAnsi="Times New Roman" w:cs="Times New Roman"/>
        </w:rPr>
        <w:t>)</w:t>
      </w:r>
      <w:r w:rsidRPr="00010F69">
        <w:rPr>
          <w:rFonts w:ascii="Times New Roman" w:hAnsi="Times New Roman" w:cs="Times New Roman"/>
        </w:rPr>
        <w:t xml:space="preserve"> alterati (l’alterazione tipica è l’aumentata latenza con morfologia d’onda preservata</w:t>
      </w:r>
      <w:r w:rsidRPr="006C2258">
        <w:rPr>
          <w:rStyle w:val="Apice1"/>
        </w:rPr>
        <w:fldChar w:fldCharType="begin" w:fldLock="1"/>
      </w:r>
      <w:r w:rsidRPr="006C2258">
        <w:rPr>
          <w:rStyle w:val="Apice1"/>
        </w:rPr>
        <w:instrText>ADDIN CSL_CITATION { "citationItems" : [ { "id" : "ITEM-1", "itemData" : { "ISBN" : "0397516592", "abstract" : "The Third Edition of this reliable reference could easily serve as a single resource for the clinical neurophysiologist performing evoked potentials in clinical practice. Coverage includes new clinical applications for evoked potential (EP) tests, advanced test variations such as motor and cognitive EPs, and new techniques that improve the efficiency of testing. Step-by-step instruction is provided on methodology and interpretation for each major test -- pattern-shift visual, brainstem auditory, and short-latency somatosensory. New to this edition is a section on evoked potential monitoring in the operating room. The renowned authors describe new techniques for eliminating artifact and improving the averaging process; and explain important techniques such as pattern electroretinography and registration of peripheral nerve action potentials.", "author" : [ { "dropping-particle" : "", "family" : "Chiappa", "given" : "K.H.", "non-dropping-particle" : "", "parse-names" : false, "suffix" : "" }, { "dropping-particle" : "", "family" : "Ropper", "given" : "A.H.", "non-dropping-particle" : "", "parse-names" : false, "suffix" : "" } ], "container-title" : "New England Journal of Medicine", "id" : "ITEM-1", "issue" : "19", "issued" : { "date-parts" : [ [ "1982" ] ] }, "page" : "1140\u20131150", "title" : "Evoked potentials in clinical medicine", "type" : "article-journal", "volume" : "306" }, "uris" : [ "http://www.mendeley.com/documents/?uuid=c021e60c-2ea5-4a38-a749-2a8500d97876" ] } ], "mendeley" : { "formattedCitation" : "&lt;sup&gt;80&lt;/sup&gt;", "plainTextFormattedCitation" : "80", "previouslyFormattedCitation" : "&lt;sup&gt;80&lt;/sup&gt;" }, "properties" : { "noteIndex" : 0 }, "schema" : "https://github.com/citation-style-language/schema/raw/master/csl-citation.json" }</w:instrText>
      </w:r>
      <w:r w:rsidRPr="006C2258">
        <w:rPr>
          <w:rStyle w:val="Apice1"/>
        </w:rPr>
        <w:fldChar w:fldCharType="separate"/>
      </w:r>
      <w:r w:rsidRPr="006C2258">
        <w:rPr>
          <w:rStyle w:val="Apice1"/>
          <w:noProof/>
        </w:rPr>
        <w:t>80</w:t>
      </w:r>
      <w:r w:rsidRPr="006C2258">
        <w:rPr>
          <w:rStyle w:val="Apice1"/>
        </w:rPr>
        <w:fldChar w:fldCharType="end"/>
      </w:r>
      <w:r w:rsidRPr="00010F69">
        <w:rPr>
          <w:rFonts w:ascii="Times New Roman" w:hAnsi="Times New Roman" w:cs="Times New Roman"/>
        </w:rPr>
        <w:t>) sono stati largamente utilizzati e hanno avuto un ruolo decisivo nella dimostrazione della disseminazione spaziale. Nei criteri di McDonald del 2001</w:t>
      </w:r>
      <w:r>
        <w:rPr>
          <w:rFonts w:ascii="Times New Roman" w:hAnsi="Times New Roman" w:cs="Times New Roman"/>
        </w:rPr>
        <w:t>,</w:t>
      </w:r>
      <w:r w:rsidRPr="00010F69">
        <w:rPr>
          <w:rFonts w:ascii="Times New Roman" w:hAnsi="Times New Roman" w:cs="Times New Roman"/>
        </w:rPr>
        <w:t xml:space="preserve"> </w:t>
      </w:r>
      <w:r>
        <w:rPr>
          <w:rFonts w:ascii="Times New Roman" w:hAnsi="Times New Roman" w:cs="Times New Roman"/>
        </w:rPr>
        <w:t>la presenza di</w:t>
      </w:r>
      <w:r w:rsidRPr="00010F69">
        <w:rPr>
          <w:rFonts w:ascii="Times New Roman" w:hAnsi="Times New Roman" w:cs="Times New Roman"/>
        </w:rPr>
        <w:t xml:space="preserve"> anomalie ai pot</w:t>
      </w:r>
      <w:r>
        <w:rPr>
          <w:rFonts w:ascii="Times New Roman" w:hAnsi="Times New Roman" w:cs="Times New Roman"/>
        </w:rPr>
        <w:t>enziali evocati visivi, associata</w:t>
      </w:r>
      <w:r w:rsidRPr="00010F69">
        <w:rPr>
          <w:rFonts w:ascii="Times New Roman" w:hAnsi="Times New Roman" w:cs="Times New Roman"/>
        </w:rPr>
        <w:t xml:space="preserve"> a 4-8 lesioni cerebrali</w:t>
      </w:r>
      <w:r>
        <w:rPr>
          <w:rFonts w:ascii="Times New Roman" w:hAnsi="Times New Roman" w:cs="Times New Roman"/>
        </w:rPr>
        <w:t>,</w:t>
      </w:r>
      <w:r w:rsidRPr="00010F69">
        <w:rPr>
          <w:rFonts w:ascii="Times New Roman" w:hAnsi="Times New Roman" w:cs="Times New Roman"/>
        </w:rPr>
        <w:t xml:space="preserve"> o </w:t>
      </w:r>
      <w:r>
        <w:rPr>
          <w:rFonts w:ascii="Times New Roman" w:hAnsi="Times New Roman" w:cs="Times New Roman"/>
        </w:rPr>
        <w:t>a</w:t>
      </w:r>
      <w:r w:rsidRPr="00010F69">
        <w:rPr>
          <w:rFonts w:ascii="Times New Roman" w:hAnsi="Times New Roman" w:cs="Times New Roman"/>
        </w:rPr>
        <w:t xml:space="preserve"> meno di 4 lesioni cerebrali ed almeno una spinale</w:t>
      </w:r>
      <w:r>
        <w:rPr>
          <w:rFonts w:ascii="Times New Roman" w:hAnsi="Times New Roman" w:cs="Times New Roman"/>
        </w:rPr>
        <w:t>, contribuiva</w:t>
      </w:r>
      <w:r w:rsidRPr="00010F69">
        <w:rPr>
          <w:rFonts w:ascii="Times New Roman" w:hAnsi="Times New Roman" w:cs="Times New Roman"/>
        </w:rPr>
        <w:t xml:space="preserve"> al criterio di dimostrazione di DIS.</w:t>
      </w:r>
      <w:r w:rsidRPr="00010F69">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"10.1002/ana.1032", "ISBN" : "0364-5134 (Print)\\n0364-5134 (Linking)", "ISSN" : "03645134", "PMID" : "11456302", "abstract" : "The International Panel on MS Diagnosis presents revised diagnostic criteria for multiple sclerosis (MS). The focus remains on the objective demonstration of dissemination of lesions in both time and space. Magnetic resonance imaging is integrated with dinical and other paraclinical diagnostic methods. The revised criteria facilitate the diagnosis of MS in patients with a variety of presentations, including \"monosymptomatic\" disease suggestive of MS, disease with a typical relapsing-remitting course, and disease with insidious progression, without clear attacks and remissions. Previously used terms such as \"clinically definite\" and \"probable MS\" are no longer recommended. The outcome of a diagnostic evaluation is either MS, \"possible MS\" (for those at risk for MS, but for whom diagnostic evaluation is equivocal), or \"not MS.\"", "author" : [ { "dropping-particle" : "", "family" : "McDonald", "given" : "W. Ian", "non-dropping-particle" : "", "parse-names" : false, "suffix" : "" }, { "dropping-particle" : "", "family" : "Compston", "given" : "Alistair", "non-dropping-particle" : "", "parse-names" : false, "suffix" : "" }, { "dropping-particle" : "", "family" : "Edan", "given" : "Gilles", "non-dropping-particle" : "", "parse-names" : false, "suffix" : "" }, { "dropping-particle" : "", "family" : "Goodkin", "given" : "Donald", "non-dropping-particle" : "", "parse-names" : false, "suffix" : "" }, { "dropping-particle" : "", "family" : "Hartung", "given" : "Hans Peter", "non-dropping-particle" : "", "parse-names" : false, "suffix" : "" }, { "dropping-particle" : "", "family" : "Lublin", "given" : "Fred D.", "non-dropping-particle" : "", "parse-names" : false, "suffix" : "" }, { "dropping-particle" : "", "family" : "McFarland", "given" : "Henry F.", "non-dropping-particle" : "", "parse-names" : false, "suffix" : "" }, { "dropping-particle" : "", "family" : "Paty", "given" : "Donald W.", "non-dropping-particle" : "", "parse-names" : false, "suffix" : "" }, { "dropping-particle" : "", "family" : "Polman", "given" : "Chris H.", "non-dropping-particle" : "", "parse-names" : false, "suffix" : "" }, { "dropping-particle" : "", "family" : "Reingold", "given" : "Stephen C.", "non-dropping-particle" : "", "parse-names" : false, "suffix" : "" }, { "dropping-particle" : "", "family" : "Sandberg-Wollheim", "given" : "Magnhild", "non-dropping-particle" : "", "parse-names" : false, "suffix" : "" }, { "dropping-particle" : "", "family" : "Sibley", "given" : "William", "non-dropping-particle" : "", "parse-names" : false, "suffix" : "" }, { "dropping-particle" : "", "family" : "Thompson", "given" : "Alan", "non-dropping-particle" : "", "parse-names" : false, "suffix" : "" }, { "dropping-particle" : "", "family" : "Noort", "given" : "Stanley", "non-dropping-particle" : "Van Den", "parse-names" : false, "suffix" : "" }, { "dropping-particle" : "", "family" : "Weinshenker", "given" : "Brian Y.", "non-dropping-particle" : "", "parse-names" : false, "suffix" : "" }, { "dropping-particle" : "", "family" : "Wolinsky", "given" : "Jerry S.", "non-dropping-particle" : "", "parse-names" : false, "suffix" : "" } ], "container-title" : "Annals of Neurology", "id" : "ITEM-1", "issue" : "1", "issued" : { "date-parts" : [ [ "2001" ] ] }, "page" : "121-127", "title" : "Recommended diagnostic criteria for multiple sclerosis: Guidelines from the International Panel on the Diagnosis of Multiple Sclerosis", "type" : "article-journal", "volume" : "50" }, "uris" : [ "http://www.mendeley.com/documents/?uuid=fde23b67-89e8-4caf-9881-7b99c6333638" ] } ], "mendeley" : { "formattedCitation" : "&lt;sup&gt;68&lt;/sup&gt;", "plainTextFormattedCitation" : "68", "previouslyFormattedCitation" : "&lt;sup&gt;68&lt;/sup&gt;" }, "properties" : { "noteIndex" : 0 }, "schema" : "https://github.com/citation-style-language/schema/raw/master/csl-citation.json" }</w:instrText>
      </w:r>
      <w:r w:rsidRPr="00010F69">
        <w:rPr>
          <w:rFonts w:ascii="Times New Roman" w:hAnsi="Times New Roman" w:cs="Times New Roman"/>
        </w:rPr>
        <w:fldChar w:fldCharType="separate"/>
      </w:r>
      <w:r w:rsidRPr="00346627">
        <w:rPr>
          <w:rFonts w:ascii="Times New Roman" w:hAnsi="Times New Roman" w:cs="Times New Roman"/>
          <w:noProof/>
          <w:vertAlign w:val="superscript"/>
        </w:rPr>
        <w:t>68</w:t>
      </w:r>
      <w:r w:rsidRPr="00010F69">
        <w:rPr>
          <w:rFonts w:ascii="Times New Roman" w:hAnsi="Times New Roman" w:cs="Times New Roman"/>
        </w:rPr>
        <w:fldChar w:fldCharType="end"/>
      </w:r>
      <w:r w:rsidRPr="00010F69">
        <w:rPr>
          <w:rFonts w:ascii="Times New Roman" w:hAnsi="Times New Roman" w:cs="Times New Roman"/>
        </w:rPr>
        <w:t xml:space="preserve"> Sempre secondo i criteri di McDonald del 2001, l’analisi del CSF e dei PEV può rivelarsi particolarmente utile nei casi dubbi, in caso di patologia progressiva, in caso di esordio precoce, tardivo o atipico.</w:t>
      </w:r>
      <w:r w:rsidRPr="006C2258">
        <w:rPr>
          <w:rStyle w:val="Apice1"/>
        </w:rPr>
        <w:fldChar w:fldCharType="begin" w:fldLock="1"/>
      </w:r>
      <w:r w:rsidRPr="006C2258">
        <w:rPr>
          <w:rStyle w:val="Apice1"/>
        </w:rPr>
        <w:instrText>ADDIN CSL_CITATION { "citationItems" : [ { "id" : "ITEM-1", "itemData" : { "DOI" : "10.1002/ana.1032", "ISBN" : "0364-5134 (Print)\\n0364-5134 (Linking)", "ISSN" : "03645134", "PMID" : "11456302", "abstract" : "The International Panel on MS Diagnosis presents revised diagnostic criteria for multiple sclerosis (MS). The focus remains on the objective demonstration of dissemination of lesions in both time and space. Magnetic resonance imaging is integrated with dinical and other paraclinical diagnostic methods. The revised criteria facilitate the diagnosis of MS in patients with a variety of presentations, including \"monosymptomatic\" disease suggestive of MS, disease with a typical relapsing-remitting course, and disease with insidious progression, without clear attacks and remissions. Previously used terms such as \"clinically definite\" and \"probable MS\" are no longer recommended. The outcome of a diagnostic evaluation is either MS, \"possible MS\" (for those at risk for MS, but for whom diagnostic evaluation is equivocal), or \"not MS.\"", "author" : [ { "dropping-particle" : "", "family" : "McDonald", "given" : "W. Ian", "non-dropping-particle" : "", "parse-names" : false, "suffix" : "" }, { "dropping-particle" : "", "family" : "Compston", "given" : "Alistair", "non-dropping-particle" : "", "parse-names" : false, "suffix" : "" }, { "dropping-particle" : "", "family" : "Edan", "given" : "Gilles", "non-dropping-particle" : "", "parse-names" : false, "suffix" : "" }, { "dropping-particle" : "", "family" : "Goodkin", "given" : "Donald", "non-dropping-particle" : "", "parse-names" : false, "suffix" : "" }, { "dropping-particle" : "", "family" : "Hartung", "given" : "Hans Peter", "non-dropping-particle" : "", "parse-names" : false, "suffix" : "" }, { "dropping-particle" : "", "family" : "Lublin", "given" : "Fred D.", "non-dropping-particle" : "", "parse-names" : false, "suffix" : "" }, { "dropping-particle" : "", "family" : "McFarland", "given" : "Henry F.", "non-dropping-particle" : "", "parse-names" : false, "suffix" : "" }, { "dropping-particle" : "", "family" : "Paty", "given" : "Donald W.", "non-dropping-particle" : "", "parse-names" : false, "suffix" : "" }, { "dropping-particle" : "", "family" : "Polman", "given" : "Chris H.", "non-dropping-particle" : "", "parse-names" : false, "suffix" : "" }, { "dropping-particle" : "", "family" : "Reingold", "given" : "Stephen C.", "non-dropping-particle" : "", "parse-names" : false, "suffix" : "" }, { "dropping-particle" : "", "family" : "Sandberg-Wollheim", "given" : "Magnhild", "non-dropping-particle" : "", "parse-names" : false, "suffix" : "" }, { "dropping-particle" : "", "family" : "Sibley", "given" : "William", "non-dropping-particle" : "", "parse-names" : false, "suffix" : "" }, { "dropping-particle" : "", "family" : "Thompson", "given" : "Alan", "non-dropping-particle" : "", "parse-names" : false, "suffix" : "" }, { "dropping-particle" : "", "family" : "Noort", "given" : "Stanley", "non-dropping-particle" : "Van Den", "parse-names" : false, "suffix" : "" }, { "dropping-particle" : "", "family" : "Weinshenker", "given" : "Brian Y.", "non-dropping-particle" : "", "parse-names" : false, "suffix" : "" }, { "dropping-particle" : "", "family" : "Wolinsky", "given" : "Jerry S.", "non-dropping-particle" : "", "parse-names" : false, "suffix" : "" } ], "container-title" : "Annals of Neurology", "id" : "ITEM-1", "issue" : "1", "issued" : { "date-parts" : [ [ "2001" ] ] }, "page" : "121-127", "title" : "Recommended diagnostic criteria for multiple sclerosis: Guidelines from the International Panel on the Diagnosis of Multiple Sclerosis", "type" : "article-journal", "volume" : "50" }, "uris" : [ "http://www.mendeley.com/documents/?uuid=fde23b67-89e8-4caf-9881-7b99c6333638" ] } ], "mendeley" : { "formattedCitation" : "&lt;sup&gt;68&lt;/sup&gt;", "plainTextFormattedCitation" : "68", "previouslyFormattedCitation" : "&lt;sup&gt;68&lt;/sup&gt;" }, "properties" : { "noteIndex" : 0 }, "schema" : "https://github.com/citation-style-language/schema/raw/master/csl-citation.json" }</w:instrText>
      </w:r>
      <w:r w:rsidRPr="006C2258">
        <w:rPr>
          <w:rStyle w:val="Apice1"/>
        </w:rPr>
        <w:fldChar w:fldCharType="separate"/>
      </w:r>
      <w:r w:rsidRPr="006C2258">
        <w:rPr>
          <w:rStyle w:val="Apice1"/>
          <w:noProof/>
        </w:rPr>
        <w:t>68</w:t>
      </w:r>
      <w:r w:rsidRPr="006C2258">
        <w:rPr>
          <w:rStyle w:val="Apice1"/>
        </w:rPr>
        <w:fldChar w:fldCharType="end"/>
      </w:r>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Con la revisione dei criteri diagnostici nei successivi anni</w:t>
      </w:r>
      <w:r>
        <w:rPr>
          <w:rFonts w:ascii="Times New Roman" w:hAnsi="Times New Roman" w:cs="Times New Roman"/>
        </w:rPr>
        <w:t>,</w:t>
      </w:r>
      <w:r w:rsidRPr="00010F69">
        <w:rPr>
          <w:rFonts w:ascii="Times New Roman" w:hAnsi="Times New Roman" w:cs="Times New Roman"/>
        </w:rPr>
        <w:t xml:space="preserve"> i PEV hanno subito una riduzione dell’importanza nella dimostrazione della presenza di patologia, ma rimangono tuttora un valido aiuto per la diagnosi. Nella diagnosi definita di SM</w:t>
      </w:r>
      <w:r>
        <w:rPr>
          <w:rFonts w:ascii="Times New Roman" w:hAnsi="Times New Roman" w:cs="Times New Roman"/>
        </w:rPr>
        <w:t>,</w:t>
      </w:r>
      <w:r w:rsidRPr="00010F69">
        <w:rPr>
          <w:rFonts w:ascii="Times New Roman" w:hAnsi="Times New Roman" w:cs="Times New Roman"/>
        </w:rPr>
        <w:t xml:space="preserve"> secondo i più recenti criteri del 2010</w:t>
      </w:r>
      <w:r>
        <w:rPr>
          <w:rFonts w:ascii="Times New Roman" w:hAnsi="Times New Roman" w:cs="Times New Roman"/>
        </w:rPr>
        <w:t>,</w:t>
      </w:r>
      <w:r w:rsidRPr="00010F69">
        <w:rPr>
          <w:rFonts w:ascii="Times New Roman" w:hAnsi="Times New Roman" w:cs="Times New Roman"/>
        </w:rPr>
        <w:t xml:space="preserve"> rimane infatti </w:t>
      </w:r>
      <w:r>
        <w:rPr>
          <w:rFonts w:ascii="Times New Roman" w:hAnsi="Times New Roman" w:cs="Times New Roman"/>
        </w:rPr>
        <w:t>consigliabile</w:t>
      </w:r>
      <w:r w:rsidRPr="00010F69">
        <w:rPr>
          <w:rFonts w:ascii="Times New Roman" w:hAnsi="Times New Roman" w:cs="Times New Roman"/>
        </w:rPr>
        <w:t xml:space="preserve"> che almeno un attacco di SM sia corroborato da </w:t>
      </w:r>
      <w:r>
        <w:rPr>
          <w:rFonts w:ascii="Times New Roman" w:hAnsi="Times New Roman" w:cs="Times New Roman"/>
        </w:rPr>
        <w:t>un riscontro all’esame o</w:t>
      </w:r>
      <w:r w:rsidRPr="00010F69">
        <w:rPr>
          <w:rFonts w:ascii="Times New Roman" w:hAnsi="Times New Roman" w:cs="Times New Roman"/>
        </w:rPr>
        <w:t xml:space="preserve">biettivo o con </w:t>
      </w:r>
      <w:r>
        <w:rPr>
          <w:rFonts w:ascii="Times New Roman" w:hAnsi="Times New Roman" w:cs="Times New Roman"/>
        </w:rPr>
        <w:t xml:space="preserve">esami strumentali come i </w:t>
      </w:r>
      <w:r w:rsidRPr="00010F69">
        <w:rPr>
          <w:rFonts w:ascii="Times New Roman" w:hAnsi="Times New Roman" w:cs="Times New Roman"/>
        </w:rPr>
        <w:t>PEV.</w:t>
      </w:r>
      <w:r w:rsidRPr="006C2258">
        <w:rPr>
          <w:rStyle w:val="Apice1"/>
        </w:rPr>
        <w:fldChar w:fldCharType="begin" w:fldLock="1"/>
      </w:r>
      <w:r w:rsidRPr="006C2258">
        <w:rPr>
          <w:rStyle w:val="Apice1"/>
        </w:rPr>
        <w:instrText>ADDIN CSL_CITATION { "citationItems" : [ { "id" : "ITEM-1", "itemData" : { "DOI" : "10.1002/ana.22366", "ISBN" : "1531-8249 (Electronic)\\r0364-5134 (Linking)", "ISSN" : "03645134", "PMID" : "21387374", "abstract" : "New evidence and consensus has led to further revision of the McDonald Criteria for diagnosis of multiple sclerosis. The use of imaging for demonstration of dissemination of central nervous system lesions in space and time has been simplified, and in some circumstances dissemination in space and time can be established by a single scan. These revisions simplify the Criteria, preserve their diagnostic sensitivity and specificity, address their applicability across populations, and may allow earlier diagnosis and more uniform and widespread use.", "author" : [ { "dropping-particle" : "", "family" : "Polman", "given" : "Chris H.", "non-dropping-particle" : "", "parse-names" : false, "suffix" : "" }, { "dropping-particle" : "", "family" : "Reingold", "given" : "Stephen C.", "non-dropping-particle" : "", "parse-names" : false, "suffix" : "" }, { "dropping-particle" : "", "family" : "Banwell", "given" : "Brenda", "non-dropping-particle" : "", "parse-names" : false, "suffix" : "" }, { "dropping-particle" : "", "family" : "Clanet", "given" : "Michel", "non-dropping-particle" : "", "parse-names" : false, "suffix" : "" }, { "dropping-particle" : "", "family" : "Cohen", "given" : "Jeffrey A.", "non-dropping-particle" : "", "parse-names" : false, "suffix" : "" }, { "dropping-particle" : "", "family" : "Filippi", "given" : "Massimo", "non-dropping-particle" : "", "parse-names" : false, "suffix" : "" }, { "dropping-particle" : "", "family" : "Fujihara", "given" : "Kazuo", "non-dropping-particle" : "", "parse-names" : false, "suffix" : "" }, { "dropping-particle" : "", "family" : "Havrdova", "given" : "Eva", "non-dropping-particle" : "", "parse-names" : false, "suffix" : "" }, { "dropping-particle" : "", "family" : "Hutchinson", "given" : "Michael", "non-dropping-particle" : "", "parse-names" : false, "suffix" : "" }, { "dropping-particle" : "", "family" : "Kappos", "given" : "Ludwig", "non-dropping-particle" : "", "parse-names" : false, "suffix" : "" }, { "dropping-particle" : "", "family" : "Lublin", "given" : "Fred D.", "non-dropping-particle" : "", "parse-names" : false, "suffix" : "" }, { "dropping-particle" : "", "family" : "Montalban", "given" : "Xavier", "non-dropping-particle" : "", "parse-names" : false, "suffix" : "" }, { "dropping-particle" : "", "family" : "O'Connor", "given" : "Paul", "non-dropping-particle" : "", "parse-names" : false, "suffix" : "" }, { "dropping-particle" : "", "family" : "Sandberg-Wollheim", "given" : "Magnhild", "non-dropping-particle" : "", "parse-names" : false, "suffix" : "" }, { "dropping-particle" : "", "family" : "Thompson", "given" : "Alan J.", "non-dropping-particle" : "", "parse-names" : false, "suffix" : "" }, { "dropping-particle" : "", "family" : "Waubant", "given" : "Emmanuelle", "non-dropping-particle" : "", "parse-names" : false, "suffix" : "" }, { "dropping-particle" : "", "family" : "Weinshenker", "given" : "Brian", "non-dropping-particle" : "", "parse-names" : false, "suffix" : "" }, { "dropping-particle" : "", "family" : "Wolinsky", "given" : "Jerry S.", "non-dropping-particle" : "", "parse-names" : false, "suffix" : "" } ], "container-title" : "Annals of Neurology", "id" : "ITEM-1", "issue" : "2", "issued" : { "date-parts" : [ [ "2011" ] ] }, "page" : "292-302", "title" : "Diagnostic criteria for multiple sclerosis: 2010 Revisions to the McDonald criteria", "type" : "article-journal", "volume" : "69" }, "uris" : [ "http://www.mendeley.com/documents/?uuid=8916d071-cd20-477b-8acf-ecdf9a2bd8dd" ] } ], "mendeley" : { "formattedCitation" : "&lt;sup&gt;71&lt;/sup&gt;", "plainTextFormattedCitation" : "71", "previouslyFormattedCitation" : "&lt;sup&gt;71&lt;/sup&gt;" }, "properties" : { "noteIndex" : 0 }, "schema" : "https://github.com/citation-style-language/schema/raw/master/csl-citation.json" }</w:instrText>
      </w:r>
      <w:r w:rsidRPr="006C2258">
        <w:rPr>
          <w:rStyle w:val="Apice1"/>
        </w:rPr>
        <w:fldChar w:fldCharType="separate"/>
      </w:r>
      <w:r w:rsidRPr="006C2258">
        <w:rPr>
          <w:rStyle w:val="Apice1"/>
          <w:noProof/>
        </w:rPr>
        <w:t>71</w:t>
      </w:r>
      <w:r w:rsidRPr="006C2258">
        <w:rPr>
          <w:rStyle w:val="Apice1"/>
        </w:rPr>
        <w:fldChar w:fldCharType="end"/>
      </w:r>
    </w:p>
    <w:p w:rsidR="00BD0D01" w:rsidRDefault="00BD0D01" w:rsidP="00BD0D01">
      <w:pPr>
        <w:widowControl w:val="0"/>
        <w:autoSpaceDE w:val="0"/>
        <w:autoSpaceDN w:val="0"/>
        <w:adjustRightInd w:val="0"/>
        <w:spacing w:after="240" w:line="360" w:lineRule="auto"/>
        <w:ind w:left="1134"/>
        <w:jc w:val="both"/>
        <w:rPr>
          <w:rStyle w:val="Apice1"/>
        </w:rPr>
      </w:pPr>
      <w:r w:rsidRPr="00010F69">
        <w:rPr>
          <w:rFonts w:ascii="Times New Roman" w:hAnsi="Times New Roman" w:cs="Times New Roman"/>
        </w:rPr>
        <w:t>Altri tipi di potenziali evocati sono stati visti contribuire poco alla diagnosi di SM</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"10.1212/WNL.54.9.1720", "ISBN" : "0028-3878 (Print)\\r0028-3878 (Linking)", "ISSN" : "0028-3878", "PMID" : "10802774", "author" : [ { "dropping-particle" : "", "family" : "Gronseth", "given" : "G S", "non-dropping-particle" : "", "parse-names" : false, "suffix" : "" }, { "dropping-particle" : "", "family" : "Ashman", "given" : "E J", "non-dropping-particle" : "", "parse-names" : false, "suffix" : "" } ], "container-title" : "Neurology", "id" : "ITEM-1", "issue" : "9", "issued" : { "date-parts" : [ [ "2000" ] ] }, "page" : "1720-5", "title" : "Practice parameter: the usefulness of evoked potentials in identifying clinically silent lesions in patients with suspected multiple sclerosis (an evidence-based review): Report of the Quality Standards Subcommittee of the American Academy of Neurology.", "type" : "article-journal", "volume" : "54" }, "uris" : [ "http://www.mendeley.com/documents/?uuid=19e14166-a6b1-43aa-a28d-150c533bf249" ] } ], "mendeley" : { "formattedCitation" : "&lt;sup&gt;81&lt;/sup&gt;", "plainTextFormattedCitation" : "81", "previouslyFormattedCitation" : "&lt;sup&gt;81&lt;/sup&gt;" }, "properties" : { "noteIndex" : 0 }, "schema" : "https://github.com/citation-style-language/schema/raw/master/csl-citation.json" }</w:instrText>
      </w:r>
      <w:r w:rsidRPr="006C2258">
        <w:rPr>
          <w:rStyle w:val="Apice1"/>
        </w:rPr>
        <w:fldChar w:fldCharType="separate"/>
      </w:r>
      <w:r w:rsidRPr="006C2258">
        <w:rPr>
          <w:rStyle w:val="Apice1"/>
          <w:noProof/>
        </w:rPr>
        <w:t>81</w:t>
      </w:r>
      <w:r w:rsidRPr="006C2258">
        <w:rPr>
          <w:rStyle w:val="Apice1"/>
        </w:rPr>
        <w:fldChar w:fldCharType="end"/>
      </w:r>
      <w:r w:rsidRPr="00010F69">
        <w:rPr>
          <w:rFonts w:ascii="Times New Roman" w:hAnsi="Times New Roman" w:cs="Times New Roman"/>
        </w:rPr>
        <w:br/>
      </w:r>
      <w:r w:rsidRPr="00010F69">
        <w:rPr>
          <w:rFonts w:ascii="Times New Roman" w:eastAsia="MS Mincho" w:hAnsi="Times New Roman" w:cs="Times New Roman"/>
        </w:rPr>
        <w:t xml:space="preserve">Per quanto riguarda ulteriori prospettive, </w:t>
      </w:r>
      <w:r>
        <w:rPr>
          <w:rFonts w:ascii="Times New Roman" w:eastAsia="MS Mincho" w:hAnsi="Times New Roman" w:cs="Times New Roman"/>
        </w:rPr>
        <w:t>nuove</w:t>
      </w:r>
      <w:r w:rsidRPr="00010F69">
        <w:rPr>
          <w:rFonts w:ascii="Times New Roman" w:eastAsia="MS Mincho" w:hAnsi="Times New Roman" w:cs="Times New Roman"/>
        </w:rPr>
        <w:t xml:space="preserve"> indagini bioumorali di sangue e liquor </w:t>
      </w:r>
      <w:r w:rsidRPr="00010F69">
        <w:rPr>
          <w:rFonts w:ascii="Times New Roman" w:eastAsia="MS Mincho" w:hAnsi="Times New Roman" w:cs="Times New Roman"/>
        </w:rPr>
        <w:lastRenderedPageBreak/>
        <w:t xml:space="preserve">sembrano riservare risvolti promettenti, </w:t>
      </w:r>
      <w:r>
        <w:rPr>
          <w:rFonts w:ascii="Times New Roman" w:eastAsia="MS Mincho" w:hAnsi="Times New Roman" w:cs="Times New Roman"/>
        </w:rPr>
        <w:t>e allo stesso modo</w:t>
      </w:r>
      <w:r w:rsidRPr="00010F69">
        <w:rPr>
          <w:rFonts w:ascii="Times New Roman" w:eastAsia="MS Mincho" w:hAnsi="Times New Roman" w:cs="Times New Roman"/>
        </w:rPr>
        <w:t xml:space="preserve"> si può prevedere un futuro per nuove analisi che comprendono array antigenici e la ricerca di miRNA</w:t>
      </w:r>
      <w:r w:rsidRPr="006C2258">
        <w:rPr>
          <w:rStyle w:val="Apice1"/>
        </w:rPr>
        <w:fldChar w:fldCharType="begin" w:fldLock="1"/>
      </w:r>
      <w:r w:rsidRPr="006C2258">
        <w:rPr>
          <w:rStyle w:val="Apice1"/>
        </w:rPr>
        <w:instrText>ADDIN CSL_CITATION { "citationItems" : [ { "id" : "ITEM-1", "itemData" : { "DOI" : "10.1016/j.jneuroim.2009.09.002", "ISBN" : "1872-8421 (Electronic)\\r0165-5728 (Linking)", "ISSN" : "01655728", "PMID" : "19782408", "abstract" : "The laboratory evaluation of cerebrospinal fluid (CSF) has been routinely employed as a diagnostic test in the diagnosis of neuroimmunological disorders such as multiple sclerosis (MS). Recently, CSF analyses in MS have garnered renewed interest as a tool for monitoring disease activity and prognosis. With the identification of patients that are very early in their disease course, namely patients with a radiologically isolated (RIS) or a clinically isolated syndrome (CIS), the true value of these evaluations has yet to be fully explored. Ultimately, the hope is that biomarkers within this compartment will be identified that will identify etiologic factors of MS and other inflammatory disorders of the central nervous system.In this review we discuss the history of CSF diagnostic tests and the most recent methodological advances. We also outline the potentially important diagnostic role and possible limitations of these tests. \u00a9 2009.", "author" : [ { "dropping-particle" : "", "family" : "Awad", "given" : "Amer", "non-dropping-particle" : "", "parse-names" : false, "suffix" : "" }, { "dropping-particle" : "", "family" : "Hemmer", "given" : "Bernhard", "non-dropping-particle" : "", "parse-names" : false, "suffix" : "" }, { "dropping-particle" : "", "family" : "Hartung", "given" : "Hans Peter", "non-dropping-particle" : "", "parse-names" : false, "suffix" : "" }, { "dropping-particle" : "", "family" : "Kieseier", "given" : "Bernd", "non-dropping-particle" : "", "parse-names" : false, "suffix" : "" }, { "dropping-particle" : "", "family" : "Bennett", "given" : "Jeffrey L.", "non-dropping-particle" : "", "parse-names" : false, "suffix" : "" }, { "dropping-particle" : "", "family" : "Stuve", "given" : "Olaf", "non-dropping-particle" : "", "parse-names" : false, "suffix" : "" } ], "container-title" : "Journal of Neuroimmunology", "id" : "ITEM-1", "issue" : "1-2", "issued" : { "date-parts" : [ [ "2010" ] ] }, "page" : "1-7", "title" : "Analyses of cerebrospinal fluid in the diagnosis and monitoring of multiple sclerosis", "type" : "article", "volume" : "219" }, "uris" : [ "http://www.mendeley.com/documents/?uuid=8c46d27c-1ea3-40be-bbc6-e82297828481" ] }, { "id" : "ITEM-2", "itemData" : { "DOI" : "10.1016/j.jneuroim.2009.07.017", "ISBN" : "1872-8421 (Electronic)\\r0165-5728 (Linking)", "PMID" : "19879655", "abstract" : "The serum level of IgM antibodies against Glc(alpha1,4)Glc(alpha) (GAGA4) is higher in relapsing remitting multiple sclerosis (RRMS) compared to other neurological disease (OND) patients and healthy controls (HC). Detecting the level of anti-GAGA4 antibody by enzyme immunoassay and total IgM, we confirmed that anti-GAGA4 IgM can differentiate RRMS from OND patients and HC. Moreover, secondary progressive MS (SPMS) and RRMS patients have similar levels of anti-GAGA4 demonstrating the biomarker's presence throughout the disease. Interestingly, the anti-GAGA4 assay may also differentiate between primary progressive MS (PPMS) and RRMS/SPMS patients, since nearly all PPMS patients were negative for the assay.", "author" : [ { "dropping-particle" : "", "family" : "Brettschneider", "given" : "J", "non-dropping-particle" : "", "parse-names" : false, "suffix" : "" }, { "dropping-particle" : "", "family" : "Jaskowski", "given" : "T D", "non-dropping-particle" : "", "parse-names" : false, "suffix" : "" }, { "dropping-particle" : "", "family" : "Tumani", "given" : "H", "non-dropping-particle" : "", "parse-names" : false, "suffix" : "" }, { "dropping-particle" : "", "family" : "Abdul", "given" : "S", "non-dropping-particle" : "", "parse-names" : false, "suffix" : "" }, { "dropping-particle" : "", "family" : "Husebye", "given" : "D", "non-dropping-particle" : "", "parse-names" : false, "suffix" : "" }, { "dropping-particle" : "", "family" : "Seraj", "given" : "H", "non-dropping-particle" : "", "parse-names" : false, "suffix" : "" }, { "dropping-particle" : "", "family" : "Hill", "given" : "H R", "non-dropping-particle" : "", "parse-names" : false, "suffix" : "" }, { "dropping-particle" : "", "family" : "Fire", "given" : "E", "non-dropping-particle" : "", "parse-names" : false, "suffix" : "" }, { "dropping-particle" : "", "family" : "Spector", "given" : "L", "non-dropping-particle" : "", "parse-names" : false, "suffix" : "" }, { "dropping-particle" : "", "family" : "Yarden", "given" : "J", "non-dropping-particle" : "", "parse-names" : false, "suffix" : "" }, { "dropping-particle" : "", "family" : "Dotan", "given" : "N", "non-dropping-particle" : "", "parse-names" : false, "suffix" : "" }, { "dropping-particle" : "", "family" : "Rose", "given" : "J W", "non-dropping-particle" : "", "parse-names" : false, "suffix" : "" } ], "container-title" : "J Neuroimmunol", "id" : "ITEM-2", "issue" : "1-2", "issued" : { "date-parts" : [ [ "2009" ] ] }, "page" : "95-101", "title" : "Serum anti-GAGA4 IgM antibodies differentiate relapsing remitting and secondary progressive multiple sclerosis from primary progressive multiple sclerosis and other neurological diseases", "type" : "article-journal", "volume" : "217" }, "uris" : [ "http://www.mendeley.com/documents/?uuid=591523c7-a9b6-4e6d-a24b-43c4f66fd310" ] }, { "id" : "ITEM-3", "itemData" : { "DOI" : "10.1212/WNL.0b013e318247f9f3", "ISBN" : "1526-632X (Electronic)\\r0028-3878 (Linking)", "ISSN" : "00283878", "PMID" : "22262743", "abstract" : "OBJECTIVE: Multiple sclerosis (MS) is characterized by the local production of antibodies in the CNS and the presence of oligoclonal bands in the CSF. Antigen arrays allow the study of antibody reactivity against a large number of antigens using small volumes of fluid with greater sensitivity than ELISA. We investigated whether there were unique autoantibodies in the CSF of patients with MS as measured by antigen arrays and whether these antibodies differed from those in serum.\\n\\nMETHODS: We used antigen arrays to analyze the reactivity of antibodies in matched serum and CSF samples of 20 patients with untreated relapsing-remitting MS (RRMS), 26 methylprednisolone-treated patients with RRMS, and 20 control patients with other noninflammatory neurologic conditions (ONDs) against 334 different antigens including heat shock proteins, lipids, and myelin antigens.\\n\\nRESULTS: We found different antibody signatures in matched CSF and serum samples The targets of these antibodies included epitopes of the myelin antigens CNP, MBP, MOBP, MOG, and PLP (59%), HSP60 and HSP70 (38%), and the 68-kD neurofilament (3%). The antibody response in patients with MS was heterogeneous; CSF antibodies in individual patients reacted with different autoantigens. These autoantibodies were locally synthesized in the CNS and were of the immunoglobulin G class. Finally, we found that treatment with steroids decreased autoantibody reactivity, epitope spreading, and intrathecal autoantibody synthesis.\\n\\nCONCLUSIONS: These studies provide a new avenue to investigate the local antibody response in the CNS, which may serve as a biomarker to monitor both disease progression and response to therapy in MS.", "author" : [ { "dropping-particle" : "", "family" : "Quintana", "given" : "F. J.", "non-dropping-particle" : "", "parse-names" : false, "suffix" : "" }, { "dropping-particle" : "", "family" : "Farez", "given" : "M. F.", "non-dropping-particle" : "", "parse-names" : false, "suffix" : "" }, { "dropping-particle" : "", "family" : "Izquierdo", "given" : "G.", "non-dropping-particle" : "", "parse-names" : false, "suffix" : "" }, { "dropping-particle" : "", "family" : "Lucas", "given" : "M.", "non-dropping-particle" : "", "parse-names" : false, "suffix" : "" }, { "dropping-particle" : "", "family" : "Cohen", "given" : "I. R.", "non-dropping-particle" : "", "parse-names" : false, "suffix" : "" }, { "dropping-particle" : "", "family" : "Weiner", "given" : "H. L.", "non-dropping-particle" : "", "parse-names" : false, "suffix" : "" } ], "container-title" : "Neurology", "id" : "ITEM-3", "issue" : "8", "issued" : { "date-parts" : [ [ "2012" ] ] }, "page" : "532-539", "title" : "Antigen microarrays identify CNS-produced autoantibodies in RRMS", "type" : "article-journal", "volume" : "78" }, "uris" : [ "http://www.mendeley.com/documents/?uuid=728863dd-b036-4c1b-8267-a3a3275457f5" ] }, { "id" : "ITEM-4", "itemData" : { "DOI" : "10.1177/1352458513496343", "ISBN" : "1352458513496", "ISSN" : "1352-4585", "PMID" : "23836875", "abstract" : "BACKGROUND: MicroRNAs (miRNAs) are short, noncoding RNAs with gene regulatory functions whose expression profiles may serve as disease biomarkers. OBJECTIVE: The objective of this study was to perform a comprehensive analysis of miRNA expression profiles in blood of patients with a clinically isolated syndrome (CIS) or relapsing-remitting multiple sclerosis (RRMS) including next-generation sequencing (NGS). METHODS: miRNA expression was analyzed in whole blood samples from treatment-na\u00efve patients with CIS (n = 25) or RRMS (n = 25) and 50 healthy controls by NGS, microarray analysis, and quantitative real-time polymerase chain reaction (qRT-PCR). RESULTS: In patients with CIS/RRMS, NGS and microarray analysis identified 38 and eight significantly deregulated miRNAs, respectively. Three of these miRNAs were found to be significantly up- (hsa-miR-16-2-3p) or downregulated (hsa-miR-20a-5p, hsa-miR-7-1-3p) by both methods. Another five of the miRNAs significantly deregulated in the NGS screen showed the same direction of regulation in the microarray analysis. qRT-PCR confirmed the direction of regulation for all eight and was significant for three miRNAs. CONCLUSIONS: This study identifies a set of miRNAs deregulated in CIS/RRMS and reconfirms the previously reported underexpression of hsa-miR-20a-5p in MS. hsa-miR-20a-5p and the other validated miRNAs may represent promising candidates for future evaluation as biomarkers for MS and could be of relevance in the pathophysiology of this disease.", "author" : [ { "dropping-particle" : "", "family" : "Keller", "given" : "Andreas", "non-dropping-particle" : "", "parse-names" : false, "suffix" : "" }, { "dropping-particle" : "", "family" : "Leidinger", "given" : "Petra", "non-dropping-particle" : "", "parse-names" : false, "suffix" : "" }, { "dropping-particle" : "", "family" : "Steinmeyer", "given" : "Florian", "non-dropping-particle" : "", "parse-names" : false, "suffix" : "" }, { "dropping-particle" : "", "family" : "St\u00e4hler", "given" : "Cord", "non-dropping-particle" : "", "parse-names" : false, "suffix" : "" }, { "dropping-particle" : "", "family" : "Franke", "given" : "Andre", "non-dropping-particle" : "", "parse-names" : false, "suffix" : "" }, { "dropping-particle" : "", "family" : "Hemmrich-Stanisak", "given" : "Georg", "non-dropping-particle" : "", "parse-names" : false, "suffix" : "" }, { "dropping-particle" : "", "family" : "Kappel", "given" : "Andreas", "non-dropping-particle" : "", "parse-names" : false, "suffix" : "" }, { "dropping-particle" : "", "family" : "Wright", "given" : "Ian", "non-dropping-particle" : "", "parse-names" : false, "suffix" : "" }, { "dropping-particle" : "", "family" : "D\u00f6rr", "given" : "Jan", "non-dropping-particle" : "", "parse-names" : false, "suffix" : "" }, { "dropping-particle" : "", "family" : "Paul", "given" : "Friedemann", "non-dropping-particle" : "", "parse-names" : false, "suffix" : "" }, { "dropping-particle" : "", "family" : "Diem", "given" : "Ricarda", "non-dropping-particle" : "", "parse-names" : false, "suffix" : "" }, { "dropping-particle" : "", "family" : "Tocariu-Krick", "given" : "Beatrice", "non-dropping-particle" : "", "parse-names" : false, "suffix" : "" }, { "dropping-particle" : "", "family" : "Meder", "given" : "Benjamin", "non-dropping-particle" : "", "parse-names" : false, "suffix" : "" }, { "dropping-particle" : "", "family" : "Backes", "given" : "Christina", "non-dropping-particle" : "", "parse-names" : false, "suffix" : "" }, { "dropping-particle" : "", "family" : "Meese", "given" : "Eckart", "non-dropping-particle" : "", "parse-names" : false, "suffix" : "" }, { "dropping-particle" : "", "family" : "Ruprecht", "given" : "Klemens", "non-dropping-particle" : "", "parse-names" : false, "suffix" : "" } ], "container-title" : "Multiple Sclerosis Journal", "id" : "ITEM-4", "issue" : "3", "issued" : { "date-parts" : [ [ "2014" ] ] }, "page" : "295-303", "title" : "Comprehensive analysis of microRNA profiles in multiple sclerosis including next-generation sequencing", "type" : "article-journal", "volume" : "20" }, "uris" : [ "http://www.mendeley.com/documents/?uuid=105a44b8-8489-4628-97c6-d8b55bd96cfa" ] } ], "mendeley" : { "formattedCitation" : "&lt;sup&gt;82\u201385&lt;/sup&gt;", "plainTextFormattedCitation" : "82\u201385", "previouslyFormattedCitation" : "&lt;sup&gt;82\u201385&lt;/sup&gt;" }, "properties" : { "noteIndex" : 0 }, "schema" : "https://github.com/citation-style-language/schema/raw/master/csl-citation.json" }</w:instrText>
      </w:r>
      <w:r w:rsidRPr="006C2258">
        <w:rPr>
          <w:rStyle w:val="Apice1"/>
        </w:rPr>
        <w:fldChar w:fldCharType="separate"/>
      </w:r>
      <w:r w:rsidRPr="006C2258">
        <w:rPr>
          <w:rStyle w:val="Apice1"/>
          <w:noProof/>
        </w:rPr>
        <w:t>82–85</w:t>
      </w:r>
      <w:r w:rsidRPr="006C2258">
        <w:rPr>
          <w:rStyle w:val="Apice1"/>
        </w:rPr>
        <w:fldChar w:fldCharType="end"/>
      </w:r>
      <w:r>
        <w:rPr>
          <w:rFonts w:ascii="Times New Roman" w:eastAsia="MS Mincho" w:hAnsi="Times New Roman" w:cs="Times New Roman"/>
        </w:rPr>
        <w:t>. Inoltre, m</w:t>
      </w:r>
      <w:r w:rsidRPr="00010F69">
        <w:rPr>
          <w:rFonts w:ascii="Times New Roman" w:eastAsia="MS Mincho" w:hAnsi="Times New Roman" w:cs="Times New Roman"/>
        </w:rPr>
        <w:t>etodiche di optical coherence tomography ad alta risoluzione sembrano essere almeno di pari utilità ai potenziali evocati visivi nella dimostrazione di un coinvolgimento visivo.</w:t>
      </w:r>
      <w:r w:rsidRPr="006C2258">
        <w:rPr>
          <w:rStyle w:val="Apice1"/>
        </w:rPr>
        <w:fldChar w:fldCharType="begin" w:fldLock="1"/>
      </w:r>
      <w:r w:rsidRPr="006C2258">
        <w:rPr>
          <w:rStyle w:val="Apice1"/>
        </w:rPr>
        <w:instrText>ADDIN CSL_CITATION { "citationItems" : [ { "id" : "ITEM-1", "itemData" : { "DOI" : "10.1038/nrneurol.2010.13", "ISBN" : "1759-4758", "ISSN" : "1759-4758", "PMID" : "20212426", "abstract" : "A new study has compared the utility of optical coherence tomography and visual evoked potentials in the diagnosis of optic neuritis\u2014an inflammatory condition that is frequently the presenting symptom of multiple sclerosis. The results indicate that the two techniques can provide complementary information for the diagnosis of this condition.", "author" : [ { "dropping-particle" : "", "family" : "Frohman", "given" : "Elliot M.", "non-dropping-particle" : "", "parse-names" : false, "suffix" : "" }, { "dropping-particle" : "", "family" : "Balcer", "given" : "Laura J.", "non-dropping-particle" : "", "parse-names" : false, "suffix" : "" }, { "dropping-particle" : "", "family" : "Calabresi", "given" : "Peter A.", "non-dropping-particle" : "", "parse-names" : false, "suffix" : "" } ], "container-title" : "Nature Reviews Neurology", "id" : "ITEM-1", "issue" : "3", "issued" : { "date-parts" : [ [ "2010" ] ] }, "page" : "125-126", "title" : "Multiple sclerosis: Can retinal imaging accurately detect optic neuritis?", "type" : "article-journal", "volume" : "6" }, "uris" : [ "http://www.mendeley.com/documents/?uuid=6af66a7b-dc72-4a9b-b9ce-d7bf3035124f" ] } ], "mendeley" : { "formattedCitation" : "&lt;sup&gt;86&lt;/sup&gt;", "plainTextFormattedCitation" : "86", "previouslyFormattedCitation" : "&lt;sup&gt;86&lt;/sup&gt;" }, "properties" : { "noteIndex" : 0 }, "schema" : "https://github.com/citation-style-language/schema/raw/master/csl-citation.json" }</w:instrText>
      </w:r>
      <w:r w:rsidRPr="006C2258">
        <w:rPr>
          <w:rStyle w:val="Apice1"/>
        </w:rPr>
        <w:fldChar w:fldCharType="separate"/>
      </w:r>
      <w:r w:rsidRPr="006C2258">
        <w:rPr>
          <w:rStyle w:val="Apice1"/>
          <w:noProof/>
        </w:rPr>
        <w:t>86</w:t>
      </w:r>
      <w:r w:rsidRPr="006C2258">
        <w:rPr>
          <w:rStyle w:val="Apice1"/>
        </w:rPr>
        <w:fldChar w:fldCharType="end"/>
      </w:r>
    </w:p>
    <w:p w:rsidR="00BD0D01" w:rsidRPr="00790242" w:rsidRDefault="00BD0D01" w:rsidP="00BD0D01">
      <w:pPr>
        <w:widowControl w:val="0"/>
        <w:autoSpaceDE w:val="0"/>
        <w:autoSpaceDN w:val="0"/>
        <w:adjustRightInd w:val="0"/>
        <w:spacing w:after="240" w:line="360" w:lineRule="auto"/>
        <w:ind w:left="1134"/>
        <w:jc w:val="both"/>
        <w:rPr>
          <w:rFonts w:ascii="Times New Roman" w:eastAsia="MS Mincho" w:hAnsi="Times New Roman" w:cs="Times New Roman"/>
        </w:rPr>
      </w:pPr>
    </w:p>
    <w:p w:rsidR="00BD0D01" w:rsidRPr="00010F69" w:rsidRDefault="00BD0D01" w:rsidP="00BD0D01">
      <w:pPr>
        <w:pStyle w:val="TitoloTesi3"/>
      </w:pPr>
      <w:bookmarkStart w:id="4" w:name="_Toc486517426"/>
      <w:r w:rsidRPr="00010F69">
        <w:t>IL RUOLO DELLA RISONANZA MAGNETICA NELLA DIAGNOSI DI SCLEROSI MULTIPLA</w:t>
      </w:r>
      <w:bookmarkEnd w:id="4"/>
    </w:p>
    <w:p w:rsidR="00BD0D01" w:rsidRPr="00010F69" w:rsidRDefault="00BD0D01" w:rsidP="00BD0D01">
      <w:pPr>
        <w:spacing w:line="360" w:lineRule="auto"/>
        <w:ind w:left="1134"/>
        <w:jc w:val="both"/>
        <w:rPr>
          <w:rFonts w:ascii="Times New Roman" w:hAnsi="Times New Roman" w:cs="Times New Roman"/>
          <w:b/>
        </w:rPr>
      </w:pPr>
    </w:p>
    <w:p w:rsidR="00BD0D01"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t>La risonanza magnetica svolge il ruolo più importante nel processo diagnostico</w:t>
      </w:r>
      <w:r>
        <w:rPr>
          <w:rFonts w:ascii="Times New Roman" w:hAnsi="Times New Roman" w:cs="Times New Roman"/>
        </w:rPr>
        <w:t>,</w:t>
      </w:r>
      <w:r w:rsidRPr="00010F69">
        <w:rPr>
          <w:rFonts w:ascii="Times New Roman" w:hAnsi="Times New Roman" w:cs="Times New Roman"/>
        </w:rPr>
        <w:t xml:space="preserve"> in particolar modo per quanto concerne la dimostrazione della disseminazione spaziale e temporale. Dal punto di vista </w:t>
      </w:r>
      <w:r w:rsidRPr="00A55579">
        <w:rPr>
          <w:rFonts w:ascii="Times New Roman" w:hAnsi="Times New Roman" w:cs="Times New Roman"/>
          <w:iCs/>
        </w:rPr>
        <w:t>neuroradiologico</w:t>
      </w:r>
      <w:r w:rsidRPr="00010F69">
        <w:rPr>
          <w:rFonts w:ascii="Times New Roman" w:hAnsi="Times New Roman" w:cs="Times New Roman"/>
        </w:rPr>
        <w:t>, la SM si configura come una patologia estremamente eterogenea, in un contesto in cui l’eterogeneità è rappresentata dalla notevole variabilità per quanto riguarda la sede, la dimensione e la morfologia delle lesioni, siano esse a carattere infiammatorio o demielinizzante, interessando indifferentemente varie aree pertinenti al SNC</w:t>
      </w:r>
      <w:r>
        <w:rPr>
          <w:rFonts w:ascii="Times New Roman" w:hAnsi="Times New Roman" w:cs="Times New Roman"/>
        </w:rPr>
        <w:t>, sia</w:t>
      </w:r>
      <w:r w:rsidRPr="00010F69">
        <w:rPr>
          <w:rFonts w:ascii="Times New Roman" w:hAnsi="Times New Roman" w:cs="Times New Roman"/>
        </w:rPr>
        <w:t xml:space="preserve"> encefaliche </w:t>
      </w:r>
      <w:r>
        <w:rPr>
          <w:rFonts w:ascii="Times New Roman" w:hAnsi="Times New Roman" w:cs="Times New Roman"/>
        </w:rPr>
        <w:t>ch</w:t>
      </w:r>
      <w:r w:rsidRPr="00010F69">
        <w:rPr>
          <w:rFonts w:ascii="Times New Roman" w:hAnsi="Times New Roman" w:cs="Times New Roman"/>
        </w:rPr>
        <w:t>e spinali.</w:t>
      </w:r>
    </w:p>
    <w:p w:rsidR="00BD0D01" w:rsidRDefault="00BD0D01" w:rsidP="00BD0D01">
      <w:pPr>
        <w:widowControl w:val="0"/>
        <w:autoSpaceDE w:val="0"/>
        <w:autoSpaceDN w:val="0"/>
        <w:adjustRightInd w:val="0"/>
        <w:spacing w:line="360" w:lineRule="auto"/>
        <w:ind w:left="1134"/>
        <w:jc w:val="both"/>
        <w:rPr>
          <w:rStyle w:val="Apice1"/>
        </w:rPr>
      </w:pPr>
      <w:r w:rsidRPr="00010F69">
        <w:rPr>
          <w:rFonts w:ascii="Times New Roman" w:hAnsi="Times New Roman" w:cs="Times New Roman"/>
        </w:rPr>
        <w:t>A testimonianza di ciò, pur essendo tradizionalmente considerata una patologia della sostanza bianca del sistema nervoso centrale, la ricerca nell</w:t>
      </w:r>
      <w:r>
        <w:rPr>
          <w:rFonts w:ascii="Times New Roman" w:hAnsi="Times New Roman" w:cs="Times New Roman"/>
        </w:rPr>
        <w:t>’</w:t>
      </w:r>
      <w:r w:rsidRPr="00010F69">
        <w:rPr>
          <w:rFonts w:ascii="Times New Roman" w:hAnsi="Times New Roman" w:cs="Times New Roman"/>
        </w:rPr>
        <w:t>ultim</w:t>
      </w:r>
      <w:r>
        <w:rPr>
          <w:rFonts w:ascii="Times New Roman" w:hAnsi="Times New Roman" w:cs="Times New Roman"/>
        </w:rPr>
        <w:t>a</w:t>
      </w:r>
      <w:r w:rsidRPr="00010F69">
        <w:rPr>
          <w:rFonts w:ascii="Times New Roman" w:hAnsi="Times New Roman" w:cs="Times New Roman"/>
        </w:rPr>
        <w:t xml:space="preserve"> decade ha investigato con crescente intensità l’interessamento della sostanza grigia</w:t>
      </w:r>
      <w:r>
        <w:rPr>
          <w:rFonts w:ascii="Times New Roman" w:hAnsi="Times New Roman" w:cs="Times New Roman"/>
        </w:rPr>
        <w:t xml:space="preserve"> (SG)</w:t>
      </w:r>
      <w:r w:rsidRPr="00010F69">
        <w:rPr>
          <w:rFonts w:ascii="Times New Roman" w:hAnsi="Times New Roman" w:cs="Times New Roman"/>
        </w:rPr>
        <w:t xml:space="preserve">, attestando che la patologia </w:t>
      </w:r>
      <w:r>
        <w:rPr>
          <w:rFonts w:ascii="Times New Roman" w:hAnsi="Times New Roman" w:cs="Times New Roman"/>
        </w:rPr>
        <w:t>causa</w:t>
      </w:r>
      <w:r w:rsidRPr="00010F69">
        <w:rPr>
          <w:rFonts w:ascii="Times New Roman" w:hAnsi="Times New Roman" w:cs="Times New Roman"/>
        </w:rPr>
        <w:t xml:space="preserve"> frequentemente lesioni caratteristiche anche a carico della SG corticale e dei nuclei della base, determinando gradi eterogenei di atrofia fin dall’esordio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"10.1001/archneur.64.10.1416", "ISBN" : "0003-9942 (Print) 0003-9942 (Linking)", "ISSN" : "0003-9942", "PMID" : "17923625", "abstract" : "BACKGROUND A significant inflammatory pathologic disorder in the cortex of patients with multiple sclerosis (MS) has been demonstrated by ex vivo studies. OBJECTIVE To determine the frequency, time of appearance, and clinical relevance of intracortical lesions (ICLs) in MS in vivo. DESIGN Double inversion recovery sequence study. SETTING Multiple Sclerosis Centre of the Veneto Region. Patients We enrolled 380 patients (116 with clinically isolated syndrome [CIS], 163 with relapsing-remitting MS [RRMS], and 101 with secondary progressive MS [SPMS]) and 40 age- and sex-matched healthy volunteers between May 1, 2005, and December 31, 2006. MAIN OUTCOME MEASURES We assessed the frequency and number of ICLs and brain parenchyma fraction, white matter T2 lesion volume, and clinical disability. RESULTS Although never observed in healthy volunteers, ICLs were detected in 58% of patients (36% of patients with CIS, 64% of patients with RRMS, and 73% of patients with SPMS). The number of ICLs was higher in patients with SPMS than in those with CIS or RRMS (P &lt;.001), and patients with ICLs had a higher Expanded Disability Status Scale score (P = .004), a higher white matter T2 lesion volume (P = .008), a lower brain parenchyma fraction (P = .009), and a higher frequency of IgG oligoclonal bands (IgGOBs) (P &lt;.001) than patients without ICLs. Patients positive for IgGOBs had more ICLs than patients negative for IgGOBs (P = .02). The number of ICLs correlated with the Expanded Disability Status Scale score (r = 0.48, P &lt;.001), white matter T2 lesion volume (r = 0.38, P = .001), and brain parenchyma fraction (r = -0.47, P = .001). A significant association between ICLs and male sex was observed. CONCLUSIONS Although more frequent in patients with SPMS, ICLs were observed from the early disease stages. The ICLs were more frequently detected in patients with IgGOBs and were associated with a higher clinical disability score and male sex. The ICLs may help to define MS clinical heterogeneity and prognosis in clinical settings.", "author" : [ { "dropping-particle" : "", "family" : "Calabrese", "given" : "Massimiliano", "non-dropping-particle" : "", "parse-names" : false, "suffix" : "" }, { "dropping-particle" : "", "family" : "Stefano", "given" : "Nicola", "non-dropping-particle" : "De", "parse-names" : false, "suffix" : "" }, { "dropping-particle" : "", "family" : "Atzori", "given" : "Matteo", "non-dropping-particle" : "", "parse-names" : false, "suffix" : "" }, { "dropping-particle" : "", "family" : "Bernardi", "given" : "Valentina", "non-dropping-particle" : "", "parse-names" : false, "suffix" : "" }, { "dropping-particle" : "", "family" : "Mattisi", "given" : "Irene", "non-dropping-particle" : "", "parse-names" : false, "suffix" : "" }, { "dropping-particle" : "", "family" : "Barachino", "given" : "Luigi", "non-dropping-particle" : "", "parse-names" : false, "suffix" : "" }, { "dropping-particle" : "", "family" : "Morra", "given" : "Aldo", "non-dropping-particle" : "", "parse-names" : false, "suffix" : "" }, { "dropping-particle" : "", "family" : "Rinaldi", "given" : "Luciano", "non-dropping-particle" : "", "parse-names" : false, "suffix" : "" }, { "dropping-particle" : "", "family" : "Romualdi", "given" : "Chiara", "non-dropping-particle" : "", "parse-names" : false, "suffix" : "" }, { "dropping-particle" : "", "family" : "Perini", "given" : "Paola", "non-dropping-particle" : "", "parse-names" : false, "suffix" : "" }, { "dropping-particle" : "", "family" : "Battistin", "given" : "Leontino", "non-dropping-particle" : "", "parse-names" : false, "suffix" : "" }, { "dropping-particle" : "", "family" : "Gallo", "given" : "Paolo", "non-dropping-particle" : "", "parse-names" : false, "suffix" : "" } ], "container-title" : "Archives of neurology", "id" : "ITEM-1", "issue" : "10", "issued" : { "date-parts" : [ [ "2007" ] ] }, "page" : "1416-22", "title" : "Detection of cortical inflammatory lesions by double inversion recovery magnetic resonance imaging in patients with multiple sclerosis.", "type" : "article-journal", "volume" : "64" }, "uris" : [ "http://www.mendeley.com/documents/?uuid=82744556-51e4-422e-8f3b-eefed27c84c5" ] }, { "id" : "ITEM-2", "itemData" : { "DOI" : "10.1002/1531-8249(200006)47:6&lt;707::AID-ANA3&gt;3.0.CO;2-Q", "ISBN" : "0364-5134 (Print)\\r0364-5134 (Linking)", "ISSN" : "03645134", "PMID" : "10852536", "abstract" : "Multiple sclerosis (MS) is a disease with profound heterogeneity in clinical course, neuroradiological appearance of the lesions, involvement of susceptibility gene loci, and response to therapy. These features are supported by experimental evidence, which demonstrates that fundamentally different processes, such as autoimmunity or virus infection, may induce MS-like inflammatory demyelinating plaques and suggest that MS may be a disease with heterogeneous pathogenetic mechanisms. From a large pathology sample of MS, collected in three international centers, we selected 51 biopsies and 32 autopsies that contained actively demyelinating lesions defined by stringent criteria. The pathology of the lesions was analyzed using a broad spectrum of immunological and neurobiological markers. Four fundamentally different patterns of demyelination were found, defined on the basis of myelin protein loss, the geography and extension of plaques, the patterns of oligodendrocyte destruction, and the immunopathological evidence of complement activation. Two patterns (I and II) showed close similarities to T-cell-mediated or T-cell plus antibody-mediated autoimmune encephalomyelitis, respectively. The other patterns (III and IV) were highly suggestive of a primary oligodendrocyte dystrophy, reminiscent of virus- or toxin-induced demyelination rather than autoimmunity. At a given time point of the disease--as reflected in autopsy cases--the patterns of demyelination were heterogeneous between patients, but were homogenous within multiple active lesions from the same patient. This pathogenetic heterogeneity of plaques from different MS patients may have fundamental implications for the diagnosis and therapy of this disease.", "author" : [ { "dropping-particle" : "", "family" : "Lucchinetti", "given" : "Claudia", "non-dropping-particle" : "", "parse-names" : false, "suffix" : "" }, { "dropping-particle" : "", "family" : "Br\u00fcck", "given" : "Wolfgang", "non-dropping-particle" : "", "parse-names" : false, "suffix" : "" }, { "dropping-particle" : "", "family" : "Parisi", "given" : "Joseph", "non-dropping-particle" : "", "parse-names" : false, "suffix" : "" }, { "dropping-particle" : "", "family" : "Scheithauer", "given" : "Bernd", "non-dropping-particle" : "", "parse-names" : false, "suffix" : "" }, { "dropping-particle" : "", "family" : "Rodriguez", "given" : "Moses", "non-dropping-particle" : "", "parse-names" : false, "suffix" : "" }, { "dropping-particle" : "", "family" : "Lassmann", "given" : "Hans", "non-dropping-particle" : "", "parse-names" : false, "suffix" : "" } ], "container-title" : "Annals of Neurology", "id" : "ITEM-2", "issue" : "6", "issued" : { "date-parts" : [ [ "2000" ] ] }, "page" : "707-717", "title" : "Heterogeneity of multiple sclerosis lesions: Implications for the pathogenesis of demyelination", "type" : "article-journal", "volume" : "47" }, "uris" : [ "http://www.mendeley.com/documents/?uuid=9c162e94-0b44-4727-8ca7-4aa9c2637e4e" ] } ], "mendeley" : { "formattedCitation" : "&lt;sup&gt;87,88&lt;/sup&gt;", "plainTextFormattedCitation" : "87,88", "previouslyFormattedCitation" : "&lt;sup&gt;87,88&lt;/sup&gt;" }, "properties" : { "noteIndex" : 0 }, "schema" : "https://github.com/citation-style-language/schema/raw/master/csl-citation.json" }</w:instrText>
      </w:r>
      <w:r w:rsidRPr="006C2258">
        <w:rPr>
          <w:rStyle w:val="Apice1"/>
        </w:rPr>
        <w:fldChar w:fldCharType="separate"/>
      </w:r>
      <w:r w:rsidRPr="006C2258">
        <w:rPr>
          <w:rStyle w:val="Apice1"/>
          <w:noProof/>
        </w:rPr>
        <w:t>87,88</w:t>
      </w:r>
      <w:r w:rsidRPr="006C2258">
        <w:rPr>
          <w:rStyle w:val="Apice1"/>
        </w:rPr>
        <w:fldChar w:fldCharType="end"/>
      </w:r>
    </w:p>
    <w:p w:rsidR="00BD0D01" w:rsidRPr="00010F69" w:rsidRDefault="00BD0D01" w:rsidP="00BD0D01">
      <w:pPr>
        <w:widowControl w:val="0"/>
        <w:autoSpaceDE w:val="0"/>
        <w:autoSpaceDN w:val="0"/>
        <w:adjustRightInd w:val="0"/>
        <w:spacing w:line="360" w:lineRule="auto"/>
        <w:ind w:left="1134"/>
        <w:jc w:val="both"/>
        <w:rPr>
          <w:rFonts w:ascii="Times New Roman" w:hAnsi="Times New Roman" w:cs="Times New Roman"/>
        </w:rPr>
      </w:pPr>
      <w:r w:rsidRPr="00010F69">
        <w:rPr>
          <w:rFonts w:ascii="Times New Roman" w:hAnsi="Times New Roman" w:cs="Times New Roman"/>
        </w:rPr>
        <w:br/>
        <w:t>Risulta evidente che l’eterogeneità neuroradiologica non rappresenti altro che l’espressione di un’eterogeneità immunopatologica legata alla molteplicità dei meccanismi fisiopatologici di infiammazione, demielinizzazione, danno assonale, neurode</w:t>
      </w:r>
      <w:r>
        <w:rPr>
          <w:rFonts w:ascii="Times New Roman" w:hAnsi="Times New Roman" w:cs="Times New Roman"/>
        </w:rPr>
        <w:t xml:space="preserve">generazione o anche riparazione </w:t>
      </w:r>
      <w:r w:rsidRPr="00010F69">
        <w:rPr>
          <w:rFonts w:ascii="Times New Roman" w:hAnsi="Times New Roman" w:cs="Times New Roman"/>
        </w:rPr>
        <w:t>coinvolti nella malattia, siano essi contemporanei o disseminati nel tempo</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"Doi 10.1172/Jci200421357", "ISBN" : "0021-9738", "ISSN" : "17528526", "PMID" : "18970977", "abstract" : "Multiple sclerosis is a complex genetic disease associated with inflammation in the CNS white matter thought to be mediated by autoreactive T cells. Clonal expansion of B cells, their antibody products, and T cells, hallmarks of inflammation in the CNS, are found in MS. This review discusses new methods to define the molecular pathology of human disease with high-throughput examination of germline DNA haplotypes, RNA expression, and protein structures that will allow the generation of a new series of hypotheses that can be tested to develop better understanding of and therapies for this disease.", "author" : [ { "dropping-particle" : "", "family" : "Hafler", "given" : "D A", "non-dropping-particle" : "", "parse-names" : false, "suffix" : "" } ], "container-title" : "Journal of Clinical Investigation", "id" : "ITEM-1", "issue" : "6", "issued" : { "date-parts" : [ [ "2004" ] ] }, "page" : "788-794", "title" : "Multiple sclerosis", "type" : "article-journal", "volume" : "113" }, "uris" : [ "http://www.mendeley.com/documents/?uuid=bc220a46-6672-49b6-8f77-dbbc118c8262" ] } ], "mendeley" : { "formattedCitation" : "&lt;sup&gt;89&lt;/sup&gt;", "plainTextFormattedCitation" : "89", "previouslyFormattedCitation" : "&lt;sup&gt;89&lt;/sup&gt;" }, "properties" : { "noteIndex" : 0 }, "schema" : "https://github.com/citation-style-language/schema/raw/master/csl-citation.json" }</w:instrText>
      </w:r>
      <w:r w:rsidRPr="006C2258">
        <w:rPr>
          <w:rStyle w:val="Apice1"/>
        </w:rPr>
        <w:fldChar w:fldCharType="separate"/>
      </w:r>
      <w:r w:rsidRPr="006C2258">
        <w:rPr>
          <w:rStyle w:val="Apice1"/>
          <w:noProof/>
        </w:rPr>
        <w:t>89</w:t>
      </w:r>
      <w:r w:rsidRPr="006C2258">
        <w:rPr>
          <w:rStyle w:val="Apice1"/>
        </w:rPr>
        <w:fldChar w:fldCharType="end"/>
      </w:r>
      <w:r w:rsidRPr="00010F69">
        <w:rPr>
          <w:rFonts w:ascii="Times New Roman" w:hAnsi="Times New Roman" w:cs="Times New Roman"/>
        </w:rPr>
        <w:t xml:space="preserve"> </w:t>
      </w:r>
    </w:p>
    <w:p w:rsidR="00BD0D01" w:rsidRPr="00010F69"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Per impostare un percorso diagnostico è fondamentale innanzitutto chiarire quali sono le caratteristiche radiologiche delle lesioni in corso di patologia.</w:t>
      </w:r>
      <w:r w:rsidRPr="00010F69">
        <w:rPr>
          <w:rFonts w:ascii="Times New Roman" w:hAnsi="Times New Roman" w:cs="Times New Roman"/>
        </w:rPr>
        <w:br/>
        <w:t>L’aspetto caratteristico si mostra come prevalentemente ovoidale, con morfologia frequentemente digitata (le cosiddette digitazioni di Dawson)</w:t>
      </w:r>
      <w:r>
        <w:rPr>
          <w:rFonts w:ascii="Times New Roman" w:hAnsi="Times New Roman" w:cs="Times New Roman"/>
        </w:rPr>
        <w:t>.</w:t>
      </w:r>
      <w:r w:rsidRPr="00010F69">
        <w:rPr>
          <w:rFonts w:ascii="Times New Roman" w:hAnsi="Times New Roman" w:cs="Times New Roman"/>
        </w:rPr>
        <w:t xml:space="preserve"> </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La sede di lesione è estremamente variabile ma la loro localizzazione è principalmente periventricolare. Altre regioni che sono</w:t>
      </w:r>
      <w:r>
        <w:rPr>
          <w:rFonts w:ascii="Times New Roman" w:hAnsi="Times New Roman" w:cs="Times New Roman"/>
        </w:rPr>
        <w:t xml:space="preserve"> frequentemente interessate</w:t>
      </w:r>
      <w:r w:rsidRPr="00010F69">
        <w:rPr>
          <w:rFonts w:ascii="Times New Roman" w:hAnsi="Times New Roman" w:cs="Times New Roman"/>
        </w:rPr>
        <w:t xml:space="preserve"> dal processo flogistico </w:t>
      </w:r>
      <w:r w:rsidRPr="00010F69">
        <w:rPr>
          <w:rFonts w:ascii="Times New Roman" w:hAnsi="Times New Roman" w:cs="Times New Roman"/>
        </w:rPr>
        <w:lastRenderedPageBreak/>
        <w:t>sono la sostanza bianca dei centri semiovali, le regioni sottotentoriali e</w:t>
      </w:r>
      <w:r>
        <w:rPr>
          <w:rFonts w:ascii="Times New Roman" w:hAnsi="Times New Roman" w:cs="Times New Roman"/>
        </w:rPr>
        <w:t>,</w:t>
      </w:r>
      <w:r w:rsidRPr="00010F69">
        <w:rPr>
          <w:rFonts w:ascii="Times New Roman" w:hAnsi="Times New Roman" w:cs="Times New Roman"/>
        </w:rPr>
        <w:t xml:space="preserve"> come già specificato, non è infrequente la presenza di lesioni di pertinenza della corteccia cerebrale o dei nuclei della base.</w:t>
      </w:r>
      <w:r w:rsidRPr="00010F69">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"10.1148/radiol.11101362", "ISBN" : "10.1148/radiol.11101362", "ISSN" : "0033-8419", "PMID" : "21602503", "abstract" : "Owing to its ability to depict the pathologic features of multiple sclerosis (MS) in exquisite detail, conventional magnetic resonance (MR) imaging has become an established tool in the diagnosis of this disease and in monitoring its evolution. MR imaging has been formally included in the diagnostic work-up of patients who present with a clinically isolated syndrome suggestive of MS, and ad hoc diagnostic criteria have been proposed and are updated on a regular basis. In patients with established MS and in those participating in treatment trials, examinations performed with conventional MR pulse sequences provide objective measures to monitor disease activity and progression; however, they have a limited prognostic role. This has driven the application of newer MR imaging technologies, including higher-field-strength MR units, to estimate overall MS burden and mechanisms of recovery in patients at different stages of the disease. These techniques have allowed in vivo assessment of the heterogeneity of MS pathologic features in focal lesions and in normal-appearing tissues. More recently, some of the finer details of MS, including macrophage infiltration and abnormal iron deposition, have become quantifiable with MR imaging. The utility of these modern MR techniques in clinical trial monitoring and in the assessment of the individual patient's response to treatment still need to be evaluated.", "author" : [ { "dropping-particle" : "", "family" : "Filippi", "given" : "Massimo", "non-dropping-particle" : "", "parse-names" : false, "suffix" : "" }, { "dropping-particle" : "", "family" : "Rocca", "given" : "Maria A.", "non-dropping-particle" : "", "parse-names" : false, "suffix" : "" } ], "container-title" : "Radiology", "id" : "ITEM-1", "issue" : "3", "issued" : { "date-parts" : [ [ "2011" ] ] }, "page" : "659-681", "title" : "MR Imaging of Multiple Sclerosis", "type" : "article-journal", "volume" : "259" }, "uris" : [ "http://www.mendeley.com/documents/?uuid=99e9fba9-8b24-49a5-abb5-f72bb63f245c" ] } ], "mendeley" : { "formattedCitation" : "&lt;sup&gt;90&lt;/sup&gt;", "plainTextFormattedCitation" : "90", "previouslyFormattedCitation" : "&lt;sup&gt;90&lt;/sup&gt;" }, "properties" : { "noteIndex" : 0 }, "schema" : "https://github.com/citation-style-language/schema/raw/master/csl-citation.json" }</w:instrText>
      </w:r>
      <w:r w:rsidRPr="00010F69">
        <w:rPr>
          <w:rFonts w:ascii="Times New Roman" w:hAnsi="Times New Roman" w:cs="Times New Roman"/>
        </w:rPr>
        <w:fldChar w:fldCharType="separate"/>
      </w:r>
      <w:r w:rsidRPr="00346627">
        <w:rPr>
          <w:rFonts w:ascii="Times New Roman" w:hAnsi="Times New Roman" w:cs="Times New Roman"/>
          <w:noProof/>
          <w:vertAlign w:val="superscript"/>
        </w:rPr>
        <w:t>90</w:t>
      </w:r>
      <w:r w:rsidRPr="00010F69">
        <w:rPr>
          <w:rFonts w:ascii="Times New Roman" w:hAnsi="Times New Roman" w:cs="Times New Roman"/>
        </w:rPr>
        <w:fldChar w:fldCharType="end"/>
      </w:r>
      <w:r w:rsidRPr="00010F69">
        <w:rPr>
          <w:rFonts w:ascii="Times New Roman" w:hAnsi="Times New Roman" w:cs="Times New Roman"/>
        </w:rPr>
        <w:t xml:space="preserve"> </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Una menzione particolare lo meritano le lesioni corticali, che sono state descritte come un reperto neuroradiologico non solo frequente ma anche particolarmente precoce nel decorso clinico della SM. Esse possono</w:t>
      </w:r>
      <w:r>
        <w:rPr>
          <w:rFonts w:ascii="Times New Roman" w:hAnsi="Times New Roman" w:cs="Times New Roman"/>
        </w:rPr>
        <w:t xml:space="preserve"> </w:t>
      </w:r>
      <w:r w:rsidRPr="00010F69">
        <w:rPr>
          <w:rFonts w:ascii="Times New Roman" w:hAnsi="Times New Roman" w:cs="Times New Roman"/>
        </w:rPr>
        <w:t xml:space="preserve">precedere addirittura la comparsa delle lesioni a carico della </w:t>
      </w:r>
      <w:r>
        <w:rPr>
          <w:rFonts w:ascii="Times New Roman" w:hAnsi="Times New Roman" w:cs="Times New Roman"/>
        </w:rPr>
        <w:t>sostanza bianca</w:t>
      </w:r>
      <w:r w:rsidRPr="00010F69">
        <w:rPr>
          <w:rFonts w:ascii="Times New Roman" w:hAnsi="Times New Roman" w:cs="Times New Roman"/>
        </w:rPr>
        <w:t>, risultando potenzialmente un indice diagnostico dalla notevole utilità. Tendono inoltre ad accumularsi nel corso del tempo fornendo pertanto un parametro proporzionale alla durata di malattia</w:t>
      </w:r>
      <w:r>
        <w:rPr>
          <w:rFonts w:ascii="Times New Roman" w:hAnsi="Times New Roman" w:cs="Times New Roman"/>
        </w:rPr>
        <w:t>.</w:t>
      </w:r>
      <w:r w:rsidRPr="00010F69">
        <w:rPr>
          <w:rFonts w:ascii="Times New Roman" w:hAnsi="Times New Roman" w:cs="Times New Roman"/>
        </w:rPr>
        <w:t xml:space="preserve"> </w:t>
      </w:r>
      <w:r w:rsidRPr="006C2258">
        <w:rPr>
          <w:rStyle w:val="Apice1"/>
        </w:rPr>
        <w:fldChar w:fldCharType="begin" w:fldLock="1"/>
      </w:r>
      <w:r w:rsidRPr="006C2258">
        <w:rPr>
          <w:rStyle w:val="Apice1"/>
        </w:rPr>
        <w:instrText>ADDIN CSL_CITATION { "citationItems" : [ { "id" : "ITEM-1", "itemData" : { "DOI" : "10.1001/archneur.64.10.1416", "ISBN" : "0003-9942 (Print) 0003-9942 (Linking)", "ISSN" : "0003-9942", "PMID" : "17923625", "abstract" : "BACKGROUND A significant inflammatory pathologic disorder in the cortex of patients with multiple sclerosis (MS) has been demonstrated by ex vivo studies. OBJECTIVE To determine the frequency, time of appearance, and clinical relevance of intracortical lesions (ICLs) in MS in vivo. DESIGN Double inversion recovery sequence study. SETTING Multiple Sclerosis Centre of the Veneto Region. Patients We enrolled 380 patients (116 with clinically isolated syndrome [CIS], 163 with relapsing-remitting MS [RRMS], and 101 with secondary progressive MS [SPMS]) and 40 age- and sex-matched healthy volunteers between May 1, 2005, and December 31, 2006. MAIN OUTCOME MEASURES We assessed the frequency and number of ICLs and brain parenchyma fraction, white matter T2 lesion volume, and clinical disability. RESULTS Although never observed in healthy volunteers, ICLs were detected in 58% of patients (36% of patients with CIS, 64% of patients with RRMS, and 73% of patients with SPMS). The number of ICLs was higher in patients with SPMS than in those with CIS or RRMS (P &lt;.001), and patients with ICLs had a higher Expanded Disability Status Scale score (P = .004), a higher white matter T2 lesion volume (P = .008), a lower brain parenchyma fraction (P = .009), and a higher frequency of IgG oligoclonal bands (IgGOBs) (P &lt;.001) than patients without ICLs. Patients positive for IgGOBs had more ICLs than patients negative for IgGOBs (P = .02). The number of ICLs correlated with the Expanded Disability Status Scale score (r = 0.48, P &lt;.001), white matter T2 lesion volume (r = 0.38, P = .001), and brain parenchyma fraction (r = -0.47, P = .001). A significant association between ICLs and male sex was observed. CONCLUSIONS Although more frequent in patients with SPMS, ICLs were observed from the early disease stages. The ICLs were more frequently detected in patients with IgGOBs and were associated with a higher clinical disability score and male sex. The ICLs may help to define MS clinical heterogeneity and prognosis in clinical settings.", "author" : [ { "dropping-particle" : "", "family" : "Calabrese", "given" : "Massimiliano", "non-dropping-particle" : "", "parse-names" : false, "suffix" : "" }, { "dropping-particle" : "", "family" : "Stefano", "given" : "Nicola", "non-dropping-particle" : "De", "parse-names" : false, "suffix" : "" }, { "dropping-particle" : "", "family" : "Atzori", "given" : "Matteo", "non-dropping-particle" : "", "parse-names" : false, "suffix" : "" }, { "dropping-particle" : "", "family" : "Bernardi", "given" : "Valentina", "non-dropping-particle" : "", "parse-names" : false, "suffix" : "" }, { "dropping-particle" : "", "family" : "Mattisi", "given" : "Irene", "non-dropping-particle" : "", "parse-names" : false, "suffix" : "" }, { "dropping-particle" : "", "family" : "Barachino", "given" : "Luigi", "non-dropping-particle" : "", "parse-names" : false, "suffix" : "" }, { "dropping-particle" : "", "family" : "Morra", "given" : "Aldo", "non-dropping-particle" : "", "parse-names" : false, "suffix" : "" }, { "dropping-particle" : "", "family" : "Rinaldi", "given" : "Luciano", "non-dropping-particle" : "", "parse-names" : false, "suffix" : "" }, { "dropping-particle" : "", "family" : "Romualdi", "given" : "Chiara", "non-dropping-particle" : "", "parse-names" : false, "suffix" : "" }, { "dropping-particle" : "", "family" : "Perini", "given" : "Paola", "non-dropping-particle" : "", "parse-names" : false, "suffix" : "" }, { "dropping-particle" : "", "family" : "Battistin", "given" : "Leontino", "non-dropping-particle" : "", "parse-names" : false, "suffix" : "" }, { "dropping-particle" : "", "family" : "Gallo", "given" : "Paolo", "non-dropping-particle" : "", "parse-names" : false, "suffix" : "" } ], "container-title" : "Archives of neurology", "id" : "ITEM-1", "issue" : "10", "issued" : { "date-parts" : [ [ "2007" ] ] }, "page" : "1416-22", "title" : "Detection of cortical inflammatory lesions by double inversion recovery magnetic resonance imaging in patients with multiple sclerosis.", "type" : "article-journal", "volume" : "64" }, "uris" : [ "http://www.mendeley.com/documents/?uuid=82744556-51e4-422e-8f3b-eefed27c84c5" ] } ], "mendeley" : { "formattedCitation" : "&lt;sup&gt;87&lt;/sup&gt;", "plainTextFormattedCitation" : "87", "previouslyFormattedCitation" : "&lt;sup&gt;87&lt;/sup&gt;" }, "properties" : { "noteIndex" : 0 }, "schema" : "https://github.com/citation-style-language/schema/raw/master/csl-citation.json" }</w:instrText>
      </w:r>
      <w:r w:rsidRPr="006C2258">
        <w:rPr>
          <w:rStyle w:val="Apice1"/>
        </w:rPr>
        <w:fldChar w:fldCharType="separate"/>
      </w:r>
      <w:r w:rsidRPr="006C2258">
        <w:rPr>
          <w:rStyle w:val="Apice1"/>
          <w:noProof/>
        </w:rPr>
        <w:t>87</w:t>
      </w:r>
      <w:r w:rsidRPr="006C2258">
        <w:rPr>
          <w:rStyle w:val="Apice1"/>
        </w:rPr>
        <w:fldChar w:fldCharType="end"/>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 xml:space="preserve">In aggiunta, possono essere anche indicatori molto utili </w:t>
      </w:r>
      <w:r>
        <w:rPr>
          <w:rFonts w:ascii="Times New Roman" w:hAnsi="Times New Roman" w:cs="Times New Roman"/>
        </w:rPr>
        <w:t xml:space="preserve">nel processo </w:t>
      </w:r>
      <w:r w:rsidRPr="00010F69">
        <w:rPr>
          <w:rFonts w:ascii="Times New Roman" w:hAnsi="Times New Roman" w:cs="Times New Roman"/>
        </w:rPr>
        <w:t>di diagnosi differenziale, in quanto nel caso di lesioni con sede completa</w:t>
      </w:r>
      <w:r>
        <w:rPr>
          <w:rFonts w:ascii="Times New Roman" w:hAnsi="Times New Roman" w:cs="Times New Roman"/>
        </w:rPr>
        <w:t>mente intracorticale</w:t>
      </w:r>
      <w:r w:rsidRPr="00010F69">
        <w:rPr>
          <w:rFonts w:ascii="Times New Roman" w:hAnsi="Times New Roman" w:cs="Times New Roman"/>
        </w:rPr>
        <w:t xml:space="preserve"> il reperto è estremamente specifico per la SM, essendo molto rare in altre patologie che devono essere escluse </w:t>
      </w:r>
      <w:r>
        <w:rPr>
          <w:rFonts w:ascii="Times New Roman" w:hAnsi="Times New Roman" w:cs="Times New Roman"/>
        </w:rPr>
        <w:t>in corso</w:t>
      </w:r>
      <w:r w:rsidRPr="00010F69">
        <w:rPr>
          <w:rFonts w:ascii="Times New Roman" w:hAnsi="Times New Roman" w:cs="Times New Roman"/>
        </w:rPr>
        <w:t xml:space="preserve"> di diagnosi differenziale, come la neuromielite ottica</w:t>
      </w:r>
      <w:r w:rsidRPr="006C2258">
        <w:rPr>
          <w:rStyle w:val="Apice1"/>
        </w:rPr>
        <w:fldChar w:fldCharType="begin" w:fldLock="1"/>
      </w:r>
      <w:r w:rsidRPr="006C2258">
        <w:rPr>
          <w:rStyle w:val="Apice1"/>
        </w:rPr>
        <w:instrText>ADDIN CSL_CITATION { "citationItems" : [ { "id" : "ITEM-1", "itemData" : { "DOI" : "10.1212/WNL.0b013e31826e9a96", "ISBN" : "0028-3878", "ISSN" : "00283878", "PMID" : "22993282", "abstract" : "BACKGROUND: Neuromyelitis optica (NMO) is a severe inflammatory demyelinating disease of the CNS in which a pathogenic role of anti-aquaporin-4 (AQP4) antibodies has been suggested. Although AQP4 is expressed in human cortex, recent histologic studies have failed to find any evidence of cortical demyelination in NMO.\\n\\nOBJECTIVE: To evaluate, in vivo, the occurrence of focal and diffuse cortical pathology in NMO.\\n\\nMETHODS: We studied 30 patients with NMO, 30 patients with relapsing-remitting multiple sclerosis (RRMS), and 30 normal controls (NC). RRMS and NC were age- and gender-matched to NMO. The presence of cortical lesions (CLs) was evaluated on double inversion recovery sequence and cortical thickness (CTh) by the application of Freesurfer on 3 volumetric fast field echo T1-weighted images.\\n\\nRESULTS: No CL was observed in NC or in NMO, while 83 CLs were identified in 20/30 (66.7%) patients with RRMS. Although NMO did not differ from NC in the global CTh, a mild thinning was observed in some cortical areas (postcentral [p = 0.018], precentral [p = 0.009], and calcarine [p = 0.015] gyri) and in the thalamus (p = 0.036). Global and regional cortical thickness was significantly decreased in RRMS compared to both NMO and NC.\\n\\nDISCUSSION: Our in vivo data further suggest that the immune-mediated pathologic process occurring in NMO spares most of the cortex. NMO differs from multiple sclerosis, where CLs and atrophy are frequently found, even in early disease phases. Thus, MRI analysis of the cortex may be a potential diagnostic tool, especially in ambiguous cases.", "author" : [ { "dropping-particle" : "", "family" : "Calabrese", "given" : "Massimiliano", "non-dropping-particle" : "", "parse-names" : false, "suffix" : "" }, { "dropping-particle" : "", "family" : "Oh", "given" : "Mi Sun", "non-dropping-particle" : "", "parse-names" : false, "suffix" : "" }, { "dropping-particle" : "", "family" : "Favaretto", "given" : "Alice", "non-dropping-particle" : "", "parse-names" : false, "suffix" : "" }, { "dropping-particle" : "", "family" : "Rinaldi", "given" : "Francesca", "non-dropping-particle" : "", "parse-names" : false, "suffix" : "" }, { "dropping-particle" : "", "family" : "Poretto", "given" : "Valentina", "non-dropping-particle" : "", "parse-names" : false, "suffix" : "" }, { "dropping-particle" : "", "family" : "Alessio", "given" : "Sara", "non-dropping-particle" : "", "parse-names" : false, "suffix" : "" }, { "dropping-particle" : "", "family" : "Lee", "given" : "Byung Chul", "non-dropping-particle" : "", "parse-names" : false, "suffix" : "" }, { "dropping-particle" : "", "family" : "Yu", "given" : "Kyung Ho", "non-dropping-particle" : "", "parse-names" : false, "suffix" : "" }, { "dropping-particle" : "Il", "family" : "Ma", "given" : "Hyeo", "non-dropping-particle" : "", "parse-names" : false, "suffix" : "" }, { "dropping-particle" : "", "family" : "Perini", "given" : "Paola", "non-dropping-particle" : "", "parse-names" : false, "suffix" : "" }, { "dropping-particle" : "", "family" : "Gallo", "given" : "Paolo", "non-dropping-particle" : "", "parse-names" : false, "suffix" : "" } ], "container-title" : "Neurology", "id" : "ITEM-1", "issue" : "16", "issued" : { "date-parts" : [ [ "2012" ] ] }, "page" : "1671-1676", "title" : "No MRI evidence of cortical lesions in neuromyelitis optica", "type" : "article-journal", "volume" : "79" }, "uris" : [ "http://www.mendeley.com/documents/?uuid=0d3065bb-423f-4f44-bde8-ebab2ad5c02c" ] } ], "mendeley" : { "formattedCitation" : "&lt;sup&gt;91&lt;/sup&gt;", "plainTextFormattedCitation" : "91", "previouslyFormattedCitation" : "&lt;sup&gt;91&lt;/sup&gt;" }, "properties" : { "noteIndex" : 0 }, "schema" : "https://github.com/citation-style-language/schema/raw/master/csl-citation.json" }</w:instrText>
      </w:r>
      <w:r w:rsidRPr="006C2258">
        <w:rPr>
          <w:rStyle w:val="Apice1"/>
        </w:rPr>
        <w:fldChar w:fldCharType="separate"/>
      </w:r>
      <w:r w:rsidRPr="006C2258">
        <w:rPr>
          <w:rStyle w:val="Apice1"/>
          <w:noProof/>
        </w:rPr>
        <w:t>91</w:t>
      </w:r>
      <w:r w:rsidRPr="006C2258">
        <w:rPr>
          <w:rStyle w:val="Apice1"/>
        </w:rPr>
        <w:fldChar w:fldCharType="end"/>
      </w:r>
      <w:r>
        <w:rPr>
          <w:rFonts w:ascii="Times New Roman" w:hAnsi="Times New Roman" w:cs="Times New Roman"/>
        </w:rPr>
        <w:t xml:space="preserve"> e</w:t>
      </w:r>
      <w:r w:rsidRPr="00010F69">
        <w:rPr>
          <w:rFonts w:ascii="Times New Roman" w:hAnsi="Times New Roman" w:cs="Times New Roman"/>
        </w:rPr>
        <w:t xml:space="preserve"> l’emicrania</w:t>
      </w:r>
      <w:r>
        <w:rPr>
          <w:rFonts w:ascii="Times New Roman" w:hAnsi="Times New Roman" w:cs="Times New Roman"/>
        </w:rPr>
        <w:t>.</w:t>
      </w:r>
      <w:r w:rsidRPr="006C2258">
        <w:rPr>
          <w:rStyle w:val="Apice1"/>
        </w:rPr>
        <w:fldChar w:fldCharType="begin" w:fldLock="1"/>
      </w:r>
      <w:r w:rsidRPr="006C2258">
        <w:rPr>
          <w:rStyle w:val="Apice1"/>
        </w:rPr>
        <w:instrText>ADDIN CSL_CITATION { "citationItems" : [ { "id" : "ITEM-1", "itemData" : { "DOI" : "10.1007/s00415-012-6571-x", "ISBN" : "0340-5354", "ISSN" : "03405354", "PMID" : "22714135", "abstract" : "Migraine patients with multiple brain white matter hyperintensities (WMHs) may represent a diagnostic challenge. Using double inversion recovery (DIR) imaging, we studied whether cortical lesions (CLs) could be seen in these patients. Approval of the institutional review boards and written informed consent were obtained from each participant. CLs and WM lesions were assessed on brain scans from 32 migraine patients with WMHs (17 patients with and 15 without aura), and in two control groups, consisting of 15 relapsing-remitting multiple sclerosis (RRMS) patients and 20 healthy controls, matched for age and gender. By definition, brain WM lesions were detected in all migraine and RRMS patients. The number and volume of WM lesions were lower in migraine versus RRMS patients (p &lt; 0.0001). No CLs were identified in migraine patients and healthy controls, whereas 20 CLs were seen in 9 (60 %) RRMS patients. The application of DIR imaging to assess focal cortical involvement seems to be useful in the diagnostic workup of patients with WMHs of unknown etiology, including those with migraine.", "author" : [ { "dropping-particle" : "", "family" : "Absinta", "given" : "Martina", "non-dropping-particle" : "", "parse-names" : false, "suffix" : "" }, { "dropping-particle" : "", "family" : "Rocca", "given" : "Maria A.", "non-dropping-particle" : "", "parse-names" : false, "suffix" : "" }, { "dropping-particle" : "", "family" : "Colombo", "given" : "Bruno", "non-dropping-particle" : "", "parse-names" : false, "suffix" : "" }, { "dropping-particle" : "", "family" : "Copetti", "given" : "Massimiliano", "non-dropping-particle" : "", "parse-names" : false, "suffix" : "" }, { "dropping-particle" : "", "family" : "Feo", "given" : "Donatella", "non-dropping-particle" : "De", "parse-names" : false, "suffix" : "" }, { "dropping-particle" : "", "family" : "Falini", "given" : "Andrea", "non-dropping-particle" : "", "parse-names" : false, "suffix" : "" }, { "dropping-particle" : "", "family" : "Comi", "given" : "Giancarlo", "non-dropping-particle" : "", "parse-names" : false, "suffix" : "" }, { "dropping-particle" : "", "family" : "Filippi", "given" : "Massimo", "non-dropping-particle" : "", "parse-names" : false, "suffix" : "" } ], "container-title" : "Journal of Neurology", "id" : "ITEM-1", "issue" : "12", "issued" : { "date-parts" : [ [ "2012" ] ] }, "page" : "2695-2698", "title" : "Patients with migraine do not have MRI-visible cortical lesions", "type" : "article-journal", "volume" : "259" }, "uris" : [ "http://www.mendeley.com/documents/?uuid=3fff248f-27cf-4a0d-b87b-0e4698ad96eb" ] } ], "mendeley" : { "formattedCitation" : "&lt;sup&gt;92&lt;/sup&gt;", "plainTextFormattedCitation" : "92", "previouslyFormattedCitation" : "&lt;sup&gt;92&lt;/sup&gt;" }, "properties" : { "noteIndex" : 0 }, "schema" : "https://github.com/citation-style-language/schema/raw/master/csl-citation.json" }</w:instrText>
      </w:r>
      <w:r w:rsidRPr="006C2258">
        <w:rPr>
          <w:rStyle w:val="Apice1"/>
        </w:rPr>
        <w:fldChar w:fldCharType="separate"/>
      </w:r>
      <w:r w:rsidRPr="006C2258">
        <w:rPr>
          <w:rStyle w:val="Apice1"/>
          <w:noProof/>
        </w:rPr>
        <w:t>92</w:t>
      </w:r>
      <w:r w:rsidRPr="006C2258">
        <w:rPr>
          <w:rStyle w:val="Apice1"/>
        </w:rPr>
        <w:fldChar w:fldCharType="end"/>
      </w:r>
    </w:p>
    <w:p w:rsidR="00BD0D01" w:rsidRDefault="00BD0D01" w:rsidP="00BD0D01">
      <w:pPr>
        <w:spacing w:line="360" w:lineRule="auto"/>
        <w:ind w:left="1134" w:right="560"/>
        <w:jc w:val="both"/>
        <w:rPr>
          <w:rFonts w:ascii="Times New Roman" w:hAnsi="Times New Roman" w:cs="Times New Roman"/>
        </w:rPr>
      </w:pPr>
    </w:p>
    <w:p w:rsidR="00BD0D01" w:rsidRDefault="00BD0D01" w:rsidP="00BD0D01">
      <w:pPr>
        <w:keepNext/>
        <w:spacing w:line="360" w:lineRule="auto"/>
        <w:ind w:left="1134" w:right="560"/>
        <w:jc w:val="both"/>
      </w:pPr>
      <w:r w:rsidRPr="00A55579">
        <w:rPr>
          <w:rFonts w:ascii="Times New Roman" w:hAnsi="Times New Roman" w:cs="Times New Roman"/>
          <w:noProof/>
        </w:rPr>
        <w:drawing>
          <wp:inline distT="0" distB="0" distL="0" distR="0" wp14:anchorId="33FF8D10" wp14:editId="6DD36B3D">
            <wp:extent cx="4915121" cy="2225040"/>
            <wp:effectExtent l="25400" t="25400" r="38100" b="3556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7-06-22 10.34.3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0750" cy="2227588"/>
                    </a:xfrm>
                    <a:prstGeom prst="rect">
                      <a:avLst/>
                    </a:prstGeom>
                    <a:ln w="12700">
                      <a:solidFill>
                        <a:schemeClr val="tx1"/>
                      </a:solidFill>
                    </a:ln>
                  </pic:spPr>
                </pic:pic>
              </a:graphicData>
            </a:graphic>
          </wp:inline>
        </w:drawing>
      </w:r>
    </w:p>
    <w:p w:rsidR="00BD0D01" w:rsidRDefault="00BD0D01" w:rsidP="00BD0D01">
      <w:pPr>
        <w:pStyle w:val="Didascalia"/>
        <w:ind w:left="1134"/>
        <w:jc w:val="both"/>
        <w:rPr>
          <w:lang w:val="en-US"/>
        </w:rPr>
      </w:pPr>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rPr>
          <w:noProof/>
        </w:rPr>
        <w:t>:</w:t>
      </w:r>
      <w:r>
        <w:t xml:space="preserve"> Differenti tipi di lesioni corticali: Il tipo I è leucocorticale, il tipo II è intracorticale. Il tipo II e il tipo IV sono lesioni subpiali che si estendono parzialmente o completamente attraverso la lunghezza della corteccia ma non alla sostanza bianca sotto corticale.</w:t>
      </w:r>
      <w:r>
        <w:rPr>
          <w:lang w:val="en-US"/>
        </w:rPr>
        <w:fldChar w:fldCharType="begin" w:fldLock="1"/>
      </w:r>
      <w:r>
        <w:rPr>
          <w:lang w:val="en-US"/>
        </w:rPr>
        <w:instrText>ADDIN CSL_CITATION { "citationItems" : [ { "id" : "ITEM-1", "itemData" : { "DOI" : "10.1148/radiol.11101362", "ISBN" : "10.1148/radiol.11101362", "ISSN" : "0033-8419", "PMID" : "21602503", "abstract" : "Owing to its ability to depict the pathologic features of multiple sclerosis (MS) in exquisite detail, conventional magnetic resonance (MR) imaging has become an established tool in the diagnosis of this disease and in monitoring its evolution. MR imaging has been formally included in the diagnostic work-up of patients who present with a clinically isolated syndrome suggestive of MS, and ad hoc diagnostic criteria have been proposed and are updated on a regular basis. In patients with established MS and in those participating in treatment trials, examinations performed with conventional MR pulse sequences provide objective measures to monitor disease activity and progression; however, they have a limited prognostic role. This has driven the application of newer MR imaging technologies, including higher-field-strength MR units, to estimate overall MS burden and mechanisms of recovery in patients at different stages of the disease. These techniques have allowed in vivo assessment of the heterogeneity of MS pathologic features in focal lesions and in normal-appearing tissues. More recently, some of the finer details of MS, including macrophage infiltration and abnormal iron deposition, have become quantifiable with MR imaging. The utility of these modern MR techniques in clinical trial monitoring and in the assessment of the individual patient's response to treatment still need to be evaluated.", "author" : [ { "dropping-particle" : "", "family" : "Filippi", "given" : "Massimo", "non-dropping-particle" : "", "parse-names" : false, "suffix" : "" }, { "dropping-particle" : "", "family" : "Rocca", "given" : "Maria A.", "non-dropping-particle" : "", "parse-names" : false, "suffix" : "" } ], "container-title" : "Radiology", "id" : "ITEM-1", "issue" : "3", "issued" : { "date-parts" : [ [ "2011" ] ] }, "page" : "659-681", "title" : "MR Imaging of Multiple Sclerosis", "type" : "article-journal", "volume" : "259" }, "uris" : [ "http://www.mendeley.com/documents/?uuid=99e9fba9-8b24-49a5-abb5-f72bb63f245c" ] } ], "mendeley" : { "formattedCitation" : "&lt;sup&gt;90&lt;/sup&gt;", "plainTextFormattedCitation" : "90", "previouslyFormattedCitation" : "&lt;sup&gt;90&lt;/sup&gt;" }, "properties" : { "noteIndex" : 0 }, "schema" : "https://github.com/citation-style-language/schema/raw/master/csl-citation.json" }</w:instrText>
      </w:r>
      <w:r>
        <w:rPr>
          <w:lang w:val="en-US"/>
        </w:rPr>
        <w:fldChar w:fldCharType="separate"/>
      </w:r>
      <w:r w:rsidRPr="00346627">
        <w:rPr>
          <w:noProof/>
          <w:vertAlign w:val="superscript"/>
          <w:lang w:val="en-US"/>
        </w:rPr>
        <w:t>90</w:t>
      </w:r>
      <w:r>
        <w:rPr>
          <w:lang w:val="en-US"/>
        </w:rPr>
        <w:fldChar w:fldCharType="end"/>
      </w:r>
    </w:p>
    <w:p w:rsidR="00BD0D01" w:rsidRDefault="00BD0D01" w:rsidP="00BD0D01">
      <w:pPr>
        <w:pStyle w:val="Didascalia"/>
        <w:ind w:left="1134"/>
        <w:jc w:val="both"/>
        <w:rPr>
          <w:rFonts w:cs="Times New Roman"/>
        </w:rPr>
      </w:pP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br/>
        <w:t>Il corpo calloso è un’altra delle sedi lesionali più frequenti, più verosimilmente a causa dell’alta concentrazione di fibre mieliniche.</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Per dimostrare le caratteristiche cronologiche delle lesioni possono essere effettuate indagini RMN dop</w:t>
      </w:r>
      <w:r>
        <w:rPr>
          <w:rFonts w:ascii="Times New Roman" w:hAnsi="Times New Roman" w:cs="Times New Roman"/>
        </w:rPr>
        <w:t>o somministrazione di g</w:t>
      </w:r>
      <w:r w:rsidRPr="00010F69">
        <w:rPr>
          <w:rFonts w:ascii="Times New Roman" w:hAnsi="Times New Roman" w:cs="Times New Roman"/>
        </w:rPr>
        <w:t>adolinio.</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Ciò che si può osservare è come</w:t>
      </w:r>
      <w:r>
        <w:rPr>
          <w:rFonts w:ascii="Times New Roman" w:hAnsi="Times New Roman" w:cs="Times New Roman"/>
        </w:rPr>
        <w:t xml:space="preserve"> alcune lesioni possa</w:t>
      </w:r>
      <w:r w:rsidRPr="00010F69">
        <w:rPr>
          <w:rFonts w:ascii="Times New Roman" w:hAnsi="Times New Roman" w:cs="Times New Roman"/>
        </w:rPr>
        <w:t xml:space="preserve">no mostrare segni presa di contrasto. Nel corso della propria storia naturale ciascuna lesione infiammatoria attraversa una fase </w:t>
      </w:r>
      <w:r w:rsidRPr="00010F69">
        <w:rPr>
          <w:rFonts w:ascii="Times New Roman" w:hAnsi="Times New Roman" w:cs="Times New Roman"/>
        </w:rPr>
        <w:lastRenderedPageBreak/>
        <w:t>attiva in cui risulta captante per un tempo che va dalle 4 alle 6 settimane.</w:t>
      </w:r>
      <w:r>
        <w:rPr>
          <w:rFonts w:ascii="Times New Roman" w:hAnsi="Times New Roman" w:cs="Times New Roman"/>
        </w:rPr>
        <w:br/>
        <w:t xml:space="preserve">Nella figura 6 sono riportati gli aspetti caratteristici e le distribuzioni neuroanatomiche delle lesioni in SM. </w:t>
      </w:r>
    </w:p>
    <w:p w:rsidR="00BD0D01" w:rsidRDefault="00BD0D01" w:rsidP="00BD0D01">
      <w:pPr>
        <w:widowControl w:val="0"/>
        <w:autoSpaceDE w:val="0"/>
        <w:autoSpaceDN w:val="0"/>
        <w:adjustRightInd w:val="0"/>
        <w:spacing w:line="280" w:lineRule="atLeast"/>
        <w:jc w:val="both"/>
        <w:rPr>
          <w:rFonts w:ascii="Times" w:hAnsi="Times" w:cs="Times"/>
          <w:color w:val="000000"/>
        </w:rPr>
      </w:pPr>
      <w:r>
        <w:rPr>
          <w:rFonts w:ascii="Times" w:hAnsi="Times" w:cs="Times"/>
          <w:color w:val="000000"/>
        </w:rPr>
        <w:t xml:space="preserve"> </w:t>
      </w:r>
    </w:p>
    <w:p w:rsidR="00BD0D01" w:rsidRDefault="00BD0D01" w:rsidP="00BD0D01">
      <w:pPr>
        <w:keepNext/>
        <w:spacing w:line="360" w:lineRule="auto"/>
        <w:ind w:left="1134" w:right="560"/>
        <w:jc w:val="both"/>
      </w:pPr>
      <w:r>
        <w:rPr>
          <w:rFonts w:ascii="Times New Roman" w:hAnsi="Times New Roman" w:cs="Times New Roman"/>
          <w:noProof/>
        </w:rPr>
        <w:drawing>
          <wp:inline distT="0" distB="0" distL="0" distR="0" wp14:anchorId="62C5E77D" wp14:editId="5D4E88A4">
            <wp:extent cx="5106276" cy="3371669"/>
            <wp:effectExtent l="25400" t="25400" r="24765" b="3238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7-06-06 14.55.3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3368" cy="3382955"/>
                    </a:xfrm>
                    <a:prstGeom prst="rect">
                      <a:avLst/>
                    </a:prstGeom>
                    <a:ln w="12700">
                      <a:solidFill>
                        <a:srgbClr val="000000"/>
                      </a:solidFill>
                    </a:ln>
                  </pic:spPr>
                </pic:pic>
              </a:graphicData>
            </a:graphic>
          </wp:inline>
        </w:drawing>
      </w:r>
    </w:p>
    <w:p w:rsidR="00BD0D01" w:rsidRPr="00E238E3" w:rsidRDefault="00BD0D01" w:rsidP="00BD0D01">
      <w:pPr>
        <w:pStyle w:val="Didascalia"/>
        <w:ind w:left="1134"/>
        <w:jc w:val="both"/>
      </w:pPr>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rPr>
          <w:noProof/>
        </w:rPr>
        <w:t>:</w:t>
      </w:r>
      <w:r>
        <w:t xml:space="preserve"> Lesioni cerebrali tipiche in un paziente con sclerosi multipla: A) lesione periventricolare; B) lesione iuxtacorticale; C) lesione infratentoriale. In D) sono presenti diversi pattern di enhancement con gadolinio tipicamente visti in sclerosi multipla.</w:t>
      </w:r>
      <w:r w:rsidDel="00244245">
        <w:t xml:space="preserve"> </w:t>
      </w:r>
      <w:r w:rsidRPr="006C2258">
        <w:rPr>
          <w:rStyle w:val="Apice1"/>
        </w:rPr>
        <w:fldChar w:fldCharType="begin" w:fldLock="1"/>
      </w:r>
      <w:r w:rsidRPr="006C2258">
        <w:rPr>
          <w:rStyle w:val="Apice1"/>
        </w:rPr>
        <w:instrText>ADDIN CSL_CITATION { "citationItems" : [ { "id" : "ITEM-1", "itemData" : { "DOI" : "10.1007/s10072-013-1485-7", "ISBN" : "1590-1874", "ISSN" : "15901874", "PMID" : "23828372", "abstract" : "MRI is highly sensitive in detecting focal white matter lesions in multiple sclerosis (MS). For this reason, it has been formally included in the diagnostic workup of patients with clinically isolated syndromes suggestive of MS, through the definition of ad hoc sets of criteria to show disease dissemination in space and time. MRI is used in virtually all clinical trials of the disease as a surrogate measure of treatment response. Several guidelines have been published to help characterizing the imaging features on conventional MR sequences of \"typical\" MS lesions and work has also been performed to identify \"red flags\" which should alert the clinicians to exclude possible alternative conditions. Despite this, the application of the available guidelines and criteria in daily life clinical practice is still limited and varies among and within countries (including Italy) due to regulatory issues and heterogeneity of MRI facilities. It is crucial for neurologists and neuroradiologists to become familiar with these criteria to improve the quality of their diagnostic assessment. In patients with established MS, the main problem is to define standard procedures for monitoring the course of the disease and treatment response. This review aims at providing daily life guidelines to clinicians for a correct application of MRI in the workup of patients suspected of having MS as well as in the monitoring of disease evolution in those with established MS. It also offers clues for the standardization of MRI studies and relative reporting to be applied at a national level.", "author" : [ { "dropping-particle" : "", "family" : "Filippi", "given" : "Massimo", "non-dropping-particle" : "", "parse-names" : false, "suffix" : "" }, { "dropping-particle" : "", "family" : "Rocca", "given" : "Maria A.", "non-dropping-particle" : "", "parse-names" : false, "suffix" : "" }, { "dropping-particle" : "", "family" : "Bastianello", "given" : "Stefano", "non-dropping-particle" : "", "parse-names" : false, "suffix" : "" }, { "dropping-particle" : "", "family" : "Comi", "given" : "Giancarlo", "non-dropping-particle" : "", "parse-names" : false, "suffix" : "" }, { "dropping-particle" : "", "family" : "Gallo", "given" : "Paolo", "non-dropping-particle" : "", "parse-names" : false, "suffix" : "" }, { "dropping-particle" : "", "family" : "Gallucci", "given" : "Massimo", "non-dropping-particle" : "", "parse-names" : false, "suffix" : "" }, { "dropping-particle" : "", "family" : "Ghezzi", "given" : "Angelo", "non-dropping-particle" : "", "parse-names" : false, "suffix" : "" }, { "dropping-particle" : "", "family" : "Marrosu", "given" : "Maria Giovanna", "non-dropping-particle" : "", "parse-names" : false, "suffix" : "" }, { "dropping-particle" : "", "family" : "Minonzio", "given" : "Giorgio", "non-dropping-particle" : "", "parse-names" : false, "suffix" : "" }, { "dropping-particle" : "", "family" : "Pantano", "given" : "Patrizia", "non-dropping-particle" : "", "parse-names" : false, "suffix" : "" }, { "dropping-particle" : "", "family" : "Pozzilli", "given" : "Carlo", "non-dropping-particle" : "", "parse-names" : false, "suffix" : "" }, { "dropping-particle" : "", "family" : "Tedeschi", "given" : "Gioacchino", "non-dropping-particle" : "", "parse-names" : false, "suffix" : "" }, { "dropping-particle" : "", "family" : "Trojano", "given" : "Maria", "non-dropping-particle" : "", "parse-names" : false, "suffix" : "" }, { "dropping-particle" : "", "family" : "Falini", "given" : "Andrea", "non-dropping-particle" : "", "parse-names" : false, "suffix" : "" }, { "dropping-particle" : "", "family" : "Stefano", "given" : "Nicola", "non-dropping-particle" : "De", "parse-names" : false, "suffix" : "" } ], "container-title" : "Neurological Sciences", "id" : "ITEM-1", "issue" : "12", "issued" : { "date-parts" : [ [ "2013" ] ] }, "page" : "2085-2093", "title" : "Guidelines from the Italian Neurological and Neuroradiological Societies for the use of magnetic resonance imaging in daily life clinical practice of multiple sclerosis patients", "type" : "article-journal", "volume" : "34" }, "uris" : [ "http://www.mendeley.com/documents/?uuid=349e6b78-58b8-4b31-833d-a771ca45fef8" ] } ], "mendeley" : { "formattedCitation" : "&lt;sup&gt;93&lt;/sup&gt;", "plainTextFormattedCitation" : "93", "previouslyFormattedCitation" : "&lt;sup&gt;93&lt;/sup&gt;" }, "properties" : { "noteIndex" : 0 }, "schema" : "https://github.com/citation-style-language/schema/raw/master/csl-citation.json" }</w:instrText>
      </w:r>
      <w:r w:rsidRPr="006C2258">
        <w:rPr>
          <w:rStyle w:val="Apice1"/>
        </w:rPr>
        <w:fldChar w:fldCharType="separate"/>
      </w:r>
      <w:r w:rsidRPr="006C2258">
        <w:rPr>
          <w:rStyle w:val="Apice1"/>
          <w:noProof/>
        </w:rPr>
        <w:t>93</w:t>
      </w:r>
      <w:r w:rsidRPr="006C2258">
        <w:rPr>
          <w:rStyle w:val="Apice1"/>
        </w:rPr>
        <w:fldChar w:fldCharType="end"/>
      </w:r>
    </w:p>
    <w:p w:rsidR="00BD0D01" w:rsidRDefault="00BD0D01" w:rsidP="00BD0D01">
      <w:pPr>
        <w:pStyle w:val="Didascalia"/>
        <w:ind w:left="1134"/>
        <w:jc w:val="both"/>
        <w:rPr>
          <w:rFonts w:cs="Times New Roman"/>
        </w:rPr>
      </w:pP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br/>
        <w:t>L’entità della captazione può essere omogenea, disomogenea o a cercine.</w:t>
      </w:r>
      <w:r w:rsidRPr="006C2258">
        <w:rPr>
          <w:rStyle w:val="Apice1"/>
        </w:rPr>
        <w:fldChar w:fldCharType="begin" w:fldLock="1"/>
      </w:r>
      <w:r w:rsidRPr="006C2258">
        <w:rPr>
          <w:rStyle w:val="Apice1"/>
        </w:rPr>
        <w:instrText>ADDIN CSL_CITATION { "citationItems" : [ { "id" : "ITEM-1", "itemData" : { "DOI" : "10.1517/17530059.2012.657624", "ISSN" : "1753-0059", "PMID" : "23480654", "abstract" : "Introduction: Magnetic resonance imaging (MRI) is sensitive in revealing focal white matter (WM) lesions in patients suspected of having multiple sclerosis (MS). As a consequence, MRI has become an established tool in addition to clinical evaluation in the diagnostic work-up of these patients. Areas covered: This review discusses the role of MRI biomarkers in patients at presentation with clinically isolated syndromes (CIS) suggestive of MS. Conventional MRI has been formally included in the diagnostic work-up of these patients, and imaging criteria have been proposed and are updated on a regular basis. Since in patients with established MS, pathologic and MRI studies have demonstrated that the disease affects the normal-appearing WM and gray matter of the brain and spinal cord in a distributed fashion, significant efforts have been devoted to the development of quantitative MR measures, sensitive to damage to these central nervous system compartments, to better characterize lesion burden at disease onset, to differentiate MS from other neurological conditions and to identify objective markers of an unfavorable clinical evolution in the subsequent years. Expert opinion: In addition to clinical measures, conventional MR sequences are the 'reference standard' for diagnosis and monitoring disease progression in patients who present with CIS suggestive of MS. The potential and utility of novel advanced MRI techniques in these patients still need to be fully evaluated.", "author" : [ { "dropping-particle" : "", "family" : "Filippi", "given" : "Massimo", "non-dropping-particle" : "", "parse-names" : false, "suffix" : "" }, { "dropping-particle" : "", "family" : "Rocca", "given" : "Maria a", "non-dropping-particle" : "", "parse-names" : false, "suffix" : "" } ], "container-title" : "Expert Opinion on Medical Diagnostics", "id" : "ITEM-1", "issue" : "2", "issued" : { "date-parts" : [ [ "2012" ] ] }, "page" : "109-120", "title" : "New magnetic resonance imaging biomarkers for the diagnosis of multiple sclerosis", "type" : "article-journal", "volume" : "6" }, "uris" : [ "http://www.mendeley.com/documents/?uuid=09a994fb-b10c-4060-a52f-63a6fb7ec4b3" ] } ], "mendeley" : { "formattedCitation" : "&lt;sup&gt;94&lt;/sup&gt;", "plainTextFormattedCitation" : "94", "previouslyFormattedCitation" : "&lt;sup&gt;94&lt;/sup&gt;" }, "properties" : { "noteIndex" : 0 }, "schema" : "https://github.com/citation-style-language/schema/raw/master/csl-citation.json" }</w:instrText>
      </w:r>
      <w:r w:rsidRPr="006C2258">
        <w:rPr>
          <w:rStyle w:val="Apice1"/>
        </w:rPr>
        <w:fldChar w:fldCharType="separate"/>
      </w:r>
      <w:r w:rsidRPr="006C2258">
        <w:rPr>
          <w:rStyle w:val="Apice1"/>
          <w:noProof/>
        </w:rPr>
        <w:t>94</w:t>
      </w:r>
      <w:r w:rsidRPr="006C2258">
        <w:rPr>
          <w:rStyle w:val="Apice1"/>
        </w:rPr>
        <w:fldChar w:fldCharType="end"/>
      </w:r>
      <w:r w:rsidRPr="00010F69">
        <w:rPr>
          <w:rFonts w:ascii="Times New Roman" w:hAnsi="Times New Roman" w:cs="Times New Roman"/>
        </w:rPr>
        <w:t xml:space="preserve"> </w:t>
      </w:r>
      <w:r w:rsidRPr="00010F69">
        <w:rPr>
          <w:rFonts w:ascii="Times New Roman" w:hAnsi="Times New Roman" w:cs="Times New Roman"/>
        </w:rPr>
        <w:br/>
        <w:t>Per quanto riguarda la RMN spinale, le lesioni midollari nella SM sono tutt’altro che infrequenti e presentano alcune caratteristiche peculiari. Sono infatti descritte nel 97% circa dei pazienti con SM definita e fino al  30</w:t>
      </w:r>
      <w:r>
        <w:rPr>
          <w:rFonts w:ascii="Times New Roman" w:hAnsi="Times New Roman" w:cs="Times New Roman"/>
        </w:rPr>
        <w:t>-</w:t>
      </w:r>
      <w:r w:rsidRPr="00010F69">
        <w:rPr>
          <w:rFonts w:ascii="Times New Roman" w:hAnsi="Times New Roman" w:cs="Times New Roman"/>
        </w:rPr>
        <w:t>40% dei pazienti all’esordio della malattia</w:t>
      </w:r>
      <w:r>
        <w:rPr>
          <w:rFonts w:ascii="Times New Roman" w:hAnsi="Times New Roman" w:cs="Times New Roman"/>
        </w:rPr>
        <w:t>.</w:t>
      </w:r>
      <w:r w:rsidRPr="00010F69">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"10.1016/S1474-4422(03)00504-0", "ISBN" : "1474-4422 (Print)\\r1474-4422 (Linking)", "ISSN" : "14744422", "PMID" : "12941578", "abstract" : "The potential of MRI of the spinal cord as a diagnostic tool in MS has recently gained much interest. Dual echo spin echo MRI is most sensitive for the detection of spinal-cord abnormalities, which range from multiple focal lesions to confluent areas of high signal intensity. In some patients, commonly those with primary progressive disease, diffuse areas of slightly increased signal intensity are found. Disappointingly, the relation between MRI findings and clinical disability is weak. Studies relating MRI findings with histopathology have revealed substantial axonal loss in the spinal cords of patients with MS, whether focal lesions are present of not. Further, diffuse cord atrophy is found in advanced MS, which may reflect axonal loss. In the diagnostic setting, spinal-cord imaging is valuable. First, asymptomatic spinal-cord lesions are very rare in disorders other than MS. For example, in a patient with equivocal brain findings such as an elderly patient with vascular-ischaemic lesions, a normal spinal-cord examination can help rule out MS. Second, presence of asymptomatic spinal lesions may help confirm a diagnosis of MS when few or no brain lesions are present.", "author" : [ { "dropping-particle" : "", "family" : "Lycklama", "given" : "Geert", "non-dropping-particle" : "", "parse-names" : false, "suffix" : "" }, { "dropping-particle" : "", "family" : "Thompson", "given" : "Alan", "non-dropping-particle" : "", "parse-names" : false, "suffix" : "" }, { "dropping-particle" : "", "family" : "Filippi", "given" : "Massimo", "non-dropping-particle" : "", "parse-names" : false, "suffix" : "" }, { "dropping-particle" : "", "family" : "Miller", "given" : "David", "non-dropping-particle" : "", "parse-names" : false, "suffix" : "" }, { "dropping-particle" : "", "family" : "Polman", "given" : "Chris", "non-dropping-particle" : "", "parse-names" : false, "suffix" : "" }, { "dropping-particle" : "", "family" : "Fazekas", "given" : "Franz", "non-dropping-particle" : "", "parse-names" : false, "suffix" : "" }, { "dropping-particle" : "", "family" : "Barkhof", "given" : "Frederik", "non-dropping-particle" : "", "parse-names" : false, "suffix" : "" } ], "container-title" : "Lancet Neurology", "id" : "ITEM-1", "issue" : "9", "issued" : { "date-parts" : [ [ "2003" ] ] }, "page" : "555-562", "title" : "Spinal-cord MRI in multiple sclerosis", "type" : "article", "volume" : "2" }, "uris" : [ "http://www.mendeley.com/documents/?uuid=d84cc339-c93e-483d-aa5f-bc16538edc1a" ] } ], "mendeley" : { "formattedCitation" : "&lt;sup&gt;95&lt;/sup&gt;", "plainTextFormattedCitation" : "95", "previouslyFormattedCitation" : "&lt;sup&gt;95&lt;/sup&gt;" }, "properties" : { "noteIndex" : 0 }, "schema" : "https://github.com/citation-style-language/schema/raw/master/csl-citation.json" }</w:instrText>
      </w:r>
      <w:r w:rsidRPr="00010F69">
        <w:rPr>
          <w:rFonts w:ascii="Times New Roman" w:hAnsi="Times New Roman" w:cs="Times New Roman"/>
        </w:rPr>
        <w:fldChar w:fldCharType="separate"/>
      </w:r>
      <w:r w:rsidRPr="00346627">
        <w:rPr>
          <w:rFonts w:ascii="Times New Roman" w:hAnsi="Times New Roman" w:cs="Times New Roman"/>
          <w:noProof/>
          <w:vertAlign w:val="superscript"/>
        </w:rPr>
        <w:t>95</w:t>
      </w:r>
      <w:r w:rsidRPr="00010F69">
        <w:rPr>
          <w:rFonts w:ascii="Times New Roman" w:hAnsi="Times New Roman" w:cs="Times New Roman"/>
        </w:rPr>
        <w:fldChar w:fldCharType="end"/>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Esse risultano più facilmente identificabili tramite l’utilizzo delle cosiddette sequenze “fast short-tau inversion recovery” (fast-STIR)</w:t>
      </w:r>
      <w:r>
        <w:rPr>
          <w:rFonts w:ascii="Times New Roman" w:hAnsi="Times New Roman" w:cs="Times New Roman"/>
        </w:rPr>
        <w:t>.</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Generalmente mostrano una morfologia caratteristica definita “cigar-like”; e hanno sede frequentemente a livello della porzione rostrale del midollo cervicale, dove si estendono in genere per uno o massimo due metameri.</w:t>
      </w:r>
    </w:p>
    <w:p w:rsidR="00BD0D01"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Sono situate in genere nella regione più periferica</w:t>
      </w:r>
      <w:r>
        <w:rPr>
          <w:rFonts w:ascii="Times New Roman" w:hAnsi="Times New Roman" w:cs="Times New Roman"/>
        </w:rPr>
        <w:t xml:space="preserve"> del midollo</w:t>
      </w:r>
      <w:r w:rsidRPr="00010F69">
        <w:rPr>
          <w:rFonts w:ascii="Times New Roman" w:hAnsi="Times New Roman" w:cs="Times New Roman"/>
        </w:rPr>
        <w:t xml:space="preserve"> e</w:t>
      </w:r>
      <w:r>
        <w:rPr>
          <w:rFonts w:ascii="Times New Roman" w:hAnsi="Times New Roman" w:cs="Times New Roman"/>
        </w:rPr>
        <w:t>,</w:t>
      </w:r>
      <w:r w:rsidRPr="00010F69">
        <w:rPr>
          <w:rFonts w:ascii="Times New Roman" w:hAnsi="Times New Roman" w:cs="Times New Roman"/>
        </w:rPr>
        <w:t xml:space="preserve"> anche se la sostanza grigia può essere coinvolta</w:t>
      </w:r>
      <w:r>
        <w:rPr>
          <w:rFonts w:ascii="Times New Roman" w:hAnsi="Times New Roman" w:cs="Times New Roman"/>
        </w:rPr>
        <w:t>,</w:t>
      </w:r>
      <w:r w:rsidRPr="00010F69">
        <w:rPr>
          <w:rFonts w:ascii="Times New Roman" w:hAnsi="Times New Roman" w:cs="Times New Roman"/>
        </w:rPr>
        <w:t xml:space="preserve"> occupano meno del 50% della sezione traversa, caratteristica che le distingue da altre patologie infiammatorie ad interesse midollare. </w:t>
      </w:r>
    </w:p>
    <w:p w:rsidR="00BD0D01" w:rsidRDefault="00BD0D01" w:rsidP="00BD0D01">
      <w:pPr>
        <w:spacing w:line="360" w:lineRule="auto"/>
        <w:ind w:left="1134" w:right="560"/>
        <w:jc w:val="both"/>
        <w:rPr>
          <w:rFonts w:ascii="Times New Roman" w:hAnsi="Times New Roman" w:cs="Times New Roman"/>
        </w:rPr>
      </w:pPr>
    </w:p>
    <w:p w:rsidR="00BD0D01" w:rsidRDefault="00BD0D01" w:rsidP="00BD0D01">
      <w:pPr>
        <w:keepNext/>
        <w:spacing w:line="360" w:lineRule="auto"/>
        <w:ind w:left="1134" w:right="560"/>
        <w:jc w:val="both"/>
      </w:pPr>
      <w:r>
        <w:rPr>
          <w:rFonts w:ascii="Times New Roman" w:hAnsi="Times New Roman" w:cs="Times New Roman"/>
          <w:noProof/>
        </w:rPr>
        <w:drawing>
          <wp:inline distT="0" distB="0" distL="0" distR="0" wp14:anchorId="28DCDA70" wp14:editId="3BB4D2E1">
            <wp:extent cx="3765563" cy="3075940"/>
            <wp:effectExtent l="25400" t="25400" r="19050" b="2286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7-06-06 15.10.5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7302" cy="3093698"/>
                    </a:xfrm>
                    <a:prstGeom prst="rect">
                      <a:avLst/>
                    </a:prstGeom>
                    <a:ln w="12700">
                      <a:solidFill>
                        <a:srgbClr val="000000"/>
                      </a:solidFill>
                    </a:ln>
                  </pic:spPr>
                </pic:pic>
              </a:graphicData>
            </a:graphic>
          </wp:inline>
        </w:drawing>
      </w:r>
    </w:p>
    <w:p w:rsidR="00BD0D01" w:rsidRDefault="00BD0D01" w:rsidP="00BD0D01">
      <w:pPr>
        <w:pStyle w:val="Didascalia"/>
        <w:ind w:left="1134"/>
        <w:jc w:val="both"/>
        <w:rPr>
          <w:rFonts w:cs="Times New Roman"/>
        </w:rPr>
      </w:pPr>
      <w:r>
        <w:t xml:space="preserve">Figura </w:t>
      </w:r>
      <w:r>
        <w:fldChar w:fldCharType="begin"/>
      </w:r>
      <w:r>
        <w:rPr>
          <w:iCs w:val="0"/>
        </w:rPr>
        <w:instrText xml:space="preserve"> SEQ Figura \* ARABIC </w:instrText>
      </w:r>
      <w:r>
        <w:fldChar w:fldCharType="separate"/>
      </w:r>
      <w:r>
        <w:rPr>
          <w:iCs w:val="0"/>
          <w:noProof/>
        </w:rPr>
        <w:t>7</w:t>
      </w:r>
      <w:r>
        <w:rPr>
          <w:noProof/>
        </w:rPr>
        <w:fldChar w:fldCharType="end"/>
      </w:r>
      <w:r>
        <w:rPr>
          <w:noProof/>
        </w:rPr>
        <w:t>:</w:t>
      </w:r>
      <w:r>
        <w:t xml:space="preserve"> Esempi di lesioni spinali in SM. A) STIR sagittale. B) Sequenze post-contrasto del midollo spinale cervicale in un paziente con sclerosi multipla. Una lesione iperintensa è chiaramente visibile in C3-C4. Si estende per meno di 3 segmenti cerebrali.</w:t>
      </w:r>
      <w:r w:rsidRPr="006C2258">
        <w:rPr>
          <w:rStyle w:val="Apice1"/>
        </w:rPr>
        <w:fldChar w:fldCharType="begin" w:fldLock="1"/>
      </w:r>
      <w:r w:rsidRPr="006C2258">
        <w:rPr>
          <w:rStyle w:val="Apice1"/>
        </w:rPr>
        <w:instrText>ADDIN CSL_CITATION { "citationItems" : [ { "id" : "ITEM-1", "itemData" : { "DOI" : "10.1007/s10072-013-1485-7", "ISBN" : "1590-1874", "ISSN" : "15901874", "PMID" : "23828372", "abstract" : "MRI is highly sensitive in detecting focal white matter lesions in multiple sclerosis (MS). For this reason, it has been formally included in the diagnostic workup of patients with clinically isolated syndromes suggestive of MS, through the definition of ad hoc sets of criteria to show disease dissemination in space and time. MRI is used in virtually all clinical trials of the disease as a surrogate measure of treatment response. Several guidelines have been published to help characterizing the imaging features on conventional MR sequences of \"typical\" MS lesions and work has also been performed to identify \"red flags\" which should alert the clinicians to exclude possible alternative conditions. Despite this, the application of the available guidelines and criteria in daily life clinical practice is still limited and varies among and within countries (including Italy) due to regulatory issues and heterogeneity of MRI facilities. It is crucial for neurologists and neuroradiologists to become familiar with these criteria to improve the quality of their diagnostic assessment. In patients with established MS, the main problem is to define standard procedures for monitoring the course of the disease and treatment response. This review aims at providing daily life guidelines to clinicians for a correct application of MRI in the workup of patients suspected of having MS as well as in the monitoring of disease evolution in those with established MS. It also offers clues for the standardization of MRI studies and relative reporting to be applied at a national level.", "author" : [ { "dropping-particle" : "", "family" : "Filippi", "given" : "Massimo", "non-dropping-particle" : "", "parse-names" : false, "suffix" : "" }, { "dropping-particle" : "", "family" : "Rocca", "given" : "Maria A.", "non-dropping-particle" : "", "parse-names" : false, "suffix" : "" }, { "dropping-particle" : "", "family" : "Bastianello", "given" : "Stefano", "non-dropping-particle" : "", "parse-names" : false, "suffix" : "" }, { "dropping-particle" : "", "family" : "Comi", "given" : "Giancarlo", "non-dropping-particle" : "", "parse-names" : false, "suffix" : "" }, { "dropping-particle" : "", "family" : "Gallo", "given" : "Paolo", "non-dropping-particle" : "", "parse-names" : false, "suffix" : "" }, { "dropping-particle" : "", "family" : "Gallucci", "given" : "Massimo", "non-dropping-particle" : "", "parse-names" : false, "suffix" : "" }, { "dropping-particle" : "", "family" : "Ghezzi", "given" : "Angelo", "non-dropping-particle" : "", "parse-names" : false, "suffix" : "" }, { "dropping-particle" : "", "family" : "Marrosu", "given" : "Maria Giovanna", "non-dropping-particle" : "", "parse-names" : false, "suffix" : "" }, { "dropping-particle" : "", "family" : "Minonzio", "given" : "Giorgio", "non-dropping-particle" : "", "parse-names" : false, "suffix" : "" }, { "dropping-particle" : "", "family" : "Pantano", "given" : "Patrizia", "non-dropping-particle" : "", "parse-names" : false, "suffix" : "" }, { "dropping-particle" : "", "family" : "Pozzilli", "given" : "Carlo", "non-dropping-particle" : "", "parse-names" : false, "suffix" : "" }, { "dropping-particle" : "", "family" : "Tedeschi", "given" : "Gioacchino", "non-dropping-particle" : "", "parse-names" : false, "suffix" : "" }, { "dropping-particle" : "", "family" : "Trojano", "given" : "Maria", "non-dropping-particle" : "", "parse-names" : false, "suffix" : "" }, { "dropping-particle" : "", "family" : "Falini", "given" : "Andrea", "non-dropping-particle" : "", "parse-names" : false, "suffix" : "" }, { "dropping-particle" : "", "family" : "Stefano", "given" : "Nicola", "non-dropping-particle" : "De", "parse-names" : false, "suffix" : "" } ], "container-title" : "Neurological Sciences", "id" : "ITEM-1", "issue" : "12", "issued" : { "date-parts" : [ [ "2013" ] ] }, "page" : "2085-2093", "title" : "Guidelines from the Italian Neurological and Neuroradiological Societies for the use of magnetic resonance imaging in daily life clinical practice of multiple sclerosis patients", "type" : "article-journal", "volume" : "34" }, "uris" : [ "http://www.mendeley.com/documents/?uuid=349e6b78-58b8-4b31-833d-a771ca45fef8" ] } ], "mendeley" : { "formattedCitation" : "&lt;sup&gt;93&lt;/sup&gt;", "plainTextFormattedCitation" : "93", "previouslyFormattedCitation" : "&lt;sup&gt;93&lt;/sup&gt;" }, "properties" : { "noteIndex" : 0 }, "schema" : "https://github.com/citation-style-language/schema/raw/master/csl-citation.json" }</w:instrText>
      </w:r>
      <w:r w:rsidRPr="006C2258">
        <w:rPr>
          <w:rStyle w:val="Apice1"/>
        </w:rPr>
        <w:fldChar w:fldCharType="separate"/>
      </w:r>
      <w:r w:rsidRPr="006C2258">
        <w:rPr>
          <w:rStyle w:val="Apice1"/>
          <w:noProof/>
        </w:rPr>
        <w:t>93</w:t>
      </w:r>
      <w:r w:rsidRPr="006C2258">
        <w:rPr>
          <w:rStyle w:val="Apice1"/>
        </w:rPr>
        <w:fldChar w:fldCharType="end"/>
      </w:r>
      <w:r w:rsidRPr="005933CB">
        <w:t xml:space="preserve"> </w:t>
      </w:r>
    </w:p>
    <w:p w:rsidR="00BD0D01" w:rsidRPr="00010F69"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br/>
        <w:t>Le lesioni della SM non determinano un rigonfiamento midollare e non appaiono ipointense sulle sequenze T1-pesate.</w:t>
      </w:r>
      <w:r w:rsidRPr="006C2258">
        <w:rPr>
          <w:rStyle w:val="Apice1"/>
        </w:rPr>
        <w:fldChar w:fldCharType="begin" w:fldLock="1"/>
      </w:r>
      <w:r w:rsidRPr="006C2258">
        <w:rPr>
          <w:rStyle w:val="Apice1"/>
        </w:rPr>
        <w:instrText>ADDIN CSL_CITATION { "citationItems" : [ { "id" : "ITEM-1", "itemData" : { "DOI" : "10.1016/S1474-4422(03)00504-0", "ISBN" : "1474-4422 (Print)\\r1474-4422 (Linking)", "ISSN" : "14744422", "PMID" : "12941578", "abstract" : "The potential of MRI of the spinal cord as a diagnostic tool in MS has recently gained much interest. Dual echo spin echo MRI is most sensitive for the detection of spinal-cord abnormalities, which range from multiple focal lesions to confluent areas of high signal intensity. In some patients, commonly those with primary progressive disease, diffuse areas of slightly increased signal intensity are found. Disappointingly, the relation between MRI findings and clinical disability is weak. Studies relating MRI findings with histopathology have revealed substantial axonal loss in the spinal cords of patients with MS, whether focal lesions are present of not. Further, diffuse cord atrophy is found in advanced MS, which may reflect axonal loss. In the diagnostic setting, spinal-cord imaging is valuable. First, asymptomatic spinal-cord lesions are very rare in disorders other than MS. For example, in a patient with equivocal brain findings such as an elderly patient with vascular-ischaemic lesions, a normal spinal-cord examination can help rule out MS. Second, presence of asymptomatic spinal lesions may help confirm a diagnosis of MS when few or no brain lesions are present.", "author" : [ { "dropping-particle" : "", "family" : "Lycklama", "given" : "Geert", "non-dropping-particle" : "", "parse-names" : false, "suffix" : "" }, { "dropping-particle" : "", "family" : "Thompson", "given" : "Alan", "non-dropping-particle" : "", "parse-names" : false, "suffix" : "" }, { "dropping-particle" : "", "family" : "Filippi", "given" : "Massimo", "non-dropping-particle" : "", "parse-names" : false, "suffix" : "" }, { "dropping-particle" : "", "family" : "Miller", "given" : "David", "non-dropping-particle" : "", "parse-names" : false, "suffix" : "" }, { "dropping-particle" : "", "family" : "Polman", "given" : "Chris", "non-dropping-particle" : "", "parse-names" : false, "suffix" : "" }, { "dropping-particle" : "", "family" : "Fazekas", "given" : "Franz", "non-dropping-particle" : "", "parse-names" : false, "suffix" : "" }, { "dropping-particle" : "", "family" : "Barkhof", "given" : "Frederik", "non-dropping-particle" : "", "parse-names" : false, "suffix" : "" } ], "container-title" : "Lancet Neurology", "id" : "ITEM-1", "issue" : "9", "issued" : { "date-parts" : [ [ "2003" ] ] }, "page" : "555-562", "title" : "Spinal-cord MRI in multiple sclerosis", "type" : "article-journal", "volume" : "2" }, "uris" : [ "http://www.mendeley.com/documents/?uuid=d728741a-dce3-4ca5-9026-655f83179bcb" ] } ], "mendeley" : { "formattedCitation" : "&lt;sup&gt;96&lt;/sup&gt;", "plainTextFormattedCitation" : "96", "previouslyFormattedCitation" : "&lt;sup&gt;96&lt;/sup&gt;" }, "properties" : { "noteIndex" : 0 }, "schema" : "https://github.com/citation-style-language/schema/raw/master/csl-citation.json" }</w:instrText>
      </w:r>
      <w:r w:rsidRPr="006C2258">
        <w:rPr>
          <w:rStyle w:val="Apice1"/>
        </w:rPr>
        <w:fldChar w:fldCharType="separate"/>
      </w:r>
      <w:r w:rsidRPr="006C2258">
        <w:rPr>
          <w:rStyle w:val="Apice1"/>
          <w:noProof/>
        </w:rPr>
        <w:t>96</w:t>
      </w:r>
      <w:r w:rsidRPr="006C2258">
        <w:rPr>
          <w:rStyle w:val="Apice1"/>
        </w:rPr>
        <w:fldChar w:fldCharType="end"/>
      </w:r>
      <w:r w:rsidRPr="00010F69">
        <w:rPr>
          <w:rFonts w:ascii="Times New Roman" w:hAnsi="Times New Roman" w:cs="Times New Roman"/>
        </w:rPr>
        <w:t xml:space="preserve"> </w:t>
      </w:r>
    </w:p>
    <w:p w:rsidR="00BD0D01" w:rsidRPr="00010F69" w:rsidRDefault="00BD0D01" w:rsidP="00BD0D01">
      <w:pPr>
        <w:spacing w:line="360" w:lineRule="auto"/>
        <w:ind w:left="1134"/>
        <w:jc w:val="both"/>
        <w:rPr>
          <w:rFonts w:ascii="Times New Roman" w:hAnsi="Times New Roman" w:cs="Times New Roman"/>
        </w:rPr>
      </w:pPr>
      <w:r w:rsidRPr="00010F69">
        <w:rPr>
          <w:rFonts w:ascii="Times New Roman" w:hAnsi="Times New Roman" w:cs="Times New Roman"/>
        </w:rPr>
        <w:t>Nella seguente tabella sono riportate le caratteristiche radiologiche delle lesioni nella sclerosi multipla.</w:t>
      </w:r>
    </w:p>
    <w:p w:rsidR="00BD0D01" w:rsidRPr="00010F69" w:rsidRDefault="00BD0D01" w:rsidP="00BD0D01">
      <w:pPr>
        <w:spacing w:line="360" w:lineRule="auto"/>
        <w:ind w:left="1134" w:right="560"/>
        <w:jc w:val="both"/>
        <w:rPr>
          <w:rFonts w:ascii="Times New Roman" w:hAnsi="Times New Roman" w:cs="Times New Roman"/>
          <w:b/>
        </w:rPr>
      </w:pPr>
    </w:p>
    <w:p w:rsidR="00BD0D01" w:rsidRDefault="00BD0D01" w:rsidP="00BD0D01">
      <w:pPr>
        <w:pStyle w:val="Didascalia"/>
        <w:keepNext/>
        <w:ind w:left="1134"/>
        <w:jc w:val="both"/>
      </w:pPr>
      <w:r>
        <w:t xml:space="preserve">Tabella </w:t>
      </w:r>
      <w:r>
        <w:rPr>
          <w:noProof/>
        </w:rPr>
        <w:fldChar w:fldCharType="begin"/>
      </w:r>
      <w:r>
        <w:rPr>
          <w:noProof/>
        </w:rPr>
        <w:instrText xml:space="preserve"> SEQ Tabella \* ROMAN </w:instrText>
      </w:r>
      <w:r>
        <w:rPr>
          <w:noProof/>
        </w:rPr>
        <w:fldChar w:fldCharType="separate"/>
      </w:r>
      <w:r>
        <w:rPr>
          <w:noProof/>
        </w:rPr>
        <w:t>V</w:t>
      </w:r>
      <w:r>
        <w:rPr>
          <w:noProof/>
        </w:rPr>
        <w:fldChar w:fldCharType="end"/>
      </w:r>
      <w:r>
        <w:t>: Caratteristiche delle lesioni tipiche di SM.</w:t>
      </w:r>
      <w:r w:rsidRPr="006C2258">
        <w:rPr>
          <w:rStyle w:val="Apice1"/>
        </w:rPr>
        <w:fldChar w:fldCharType="begin" w:fldLock="1"/>
      </w:r>
      <w:r w:rsidRPr="006C2258">
        <w:rPr>
          <w:rStyle w:val="Apice1"/>
        </w:rPr>
        <w:instrText>ADDIN CSL_CITATION { "citationItems" : [ { "id" : "ITEM-1", "itemData" : { "DOI" : "10.1148/radiol.11101362", "ISBN" : "10.1148/radiol.11101362", "ISSN" : "0033-8419", "PMID" : "21602503", "abstract" : "Owing to its ability to depict the pathologic features of multiple sclerosis (MS) in exquisite detail, conventional magnetic resonance (MR) imaging has become an established tool in the diagnosis of this disease and in monitoring its evolution. MR imaging has been formally included in the diagnostic work-up of patients who present with a clinically isolated syndrome suggestive of MS, and ad hoc diagnostic criteria have been proposed and are updated on a regular basis. In patients with established MS and in those participating in treatment trials, examinations performed with conventional MR pulse sequences provide objective measures to monitor disease activity and progression; however, they have a limited prognostic role. This has driven the application of newer MR imaging technologies, including higher-field-strength MR units, to estimate overall MS burden and mechanisms of recovery in patients at different stages of the disease. These techniques have allowed in vivo assessment of the heterogeneity of MS pathologic features in focal lesions and in normal-appearing tissues. More recently, some of the finer details of MS, including macrophage infiltration and abnormal iron deposition, have become quantifiable with MR imaging. The utility of these modern MR techniques in clinical trial monitoring and in the assessment of the individual patient's response to treatment still need to be evaluated.", "author" : [ { "dropping-particle" : "", "family" : "Filippi", "given" : "Massimo", "non-dropping-particle" : "", "parse-names" : false, "suffix" : "" }, { "dropping-particle" : "", "family" : "Rocca", "given" : "Maria A.", "non-dropping-particle" : "", "parse-names" : false, "suffix" : "" } ], "container-title" : "Radiology", "id" : "ITEM-1", "issue" : "3", "issued" : { "date-parts" : [ [ "2011" ] ] }, "page" : "659-681", "title" : "MR Imaging of Multiple Sclerosis", "type" : "article-journal", "volume" : "259" }, "uris" : [ "http://www.mendeley.com/documents/?uuid=99e9fba9-8b24-49a5-abb5-f72bb63f245c" ] }, { "id" : "ITEM-2", "itemData" : { "DOI" : "10.1007/s10072-013-1485-7", "ISBN" : "1590-1874", "ISSN" : "15901874", "PMID" : "23828372", "abstract" : "MRI is highly sensitive in detecting focal white matter lesions in multiple sclerosis (MS). For this reason, it has been formally included in the diagnostic workup of patients with clinically isolated syndromes suggestive of MS, through the definition of ad hoc sets of criteria to show disease dissemination in space and time. MRI is used in virtually all clinical trials of the disease as a surrogate measure of treatment response. Several guidelines have been published to help characterizing the imaging features on conventional MR sequences of \"typical\" MS lesions and work has also been performed to identify \"red flags\" which should alert the clinicians to exclude possible alternative conditions. Despite this, the application of the available guidelines and criteria in daily life clinical practice is still limited and varies among and within countries (including Italy) due to regulatory issues and heterogeneity of MRI facilities. It is crucial for neurologists and neuroradiologists to become familiar with these criteria to improve the quality of their diagnostic assessment. In patients with established MS, the main problem is to define standard procedures for monitoring the course of the disease and treatment response. This review aims at providing daily life guidelines to clinicians for a correct application of MRI in the workup of patients suspected of having MS as well as in the monitoring of disease evolution in those with established MS. It also offers clues for the standardization of MRI studies and relative reporting to be applied at a national level.", "author" : [ { "dropping-particle" : "", "family" : "Filippi", "given" : "Massimo", "non-dropping-particle" : "", "parse-names" : false, "suffix" : "" }, { "dropping-particle" : "", "family" : "Rocca", "given" : "Maria A.", "non-dropping-particle" : "", "parse-names" : false, "suffix" : "" }, { "dropping-particle" : "", "family" : "Bastianello", "given" : "Stefano", "non-dropping-particle" : "", "parse-names" : false, "suffix" : "" }, { "dropping-particle" : "", "family" : "Comi", "given" : "Giancarlo", "non-dropping-particle" : "", "parse-names" : false, "suffix" : "" }, { "dropping-particle" : "", "family" : "Gallo", "given" : "Paolo", "non-dropping-particle" : "", "parse-names" : false, "suffix" : "" }, { "dropping-particle" : "", "family" : "Gallucci", "given" : "Massimo", "non-dropping-particle" : "", "parse-names" : false, "suffix" : "" }, { "dropping-particle" : "", "family" : "Ghezzi", "given" : "Angelo", "non-dropping-particle" : "", "parse-names" : false, "suffix" : "" }, { "dropping-particle" : "", "family" : "Marrosu", "given" : "Maria Giovanna", "non-dropping-particle" : "", "parse-names" : false, "suffix" : "" }, { "dropping-particle" : "", "family" : "Minonzio", "given" : "Giorgio", "non-dropping-particle" : "", "parse-names" : false, "suffix" : "" }, { "dropping-particle" : "", "family" : "Pantano", "given" : "Patrizia", "non-dropping-particle" : "", "parse-names" : false, "suffix" : "" }, { "dropping-particle" : "", "family" : "Pozzilli", "given" : "Carlo", "non-dropping-particle" : "", "parse-names" : false, "suffix" : "" }, { "dropping-particle" : "", "family" : "Tedeschi", "given" : "Gioacchino", "non-dropping-particle" : "", "parse-names" : false, "suffix" : "" }, { "dropping-particle" : "", "family" : "Trojano", "given" : "Maria", "non-dropping-particle" : "", "parse-names" : false, "suffix" : "" }, { "dropping-particle" : "", "family" : "Falini", "given" : "Andrea", "non-dropping-particle" : "", "parse-names" : false, "suffix" : "" }, { "dropping-particle" : "", "family" : "Stefano", "given" : "Nicola", "non-dropping-particle" : "De", "parse-names" : false, "suffix" : "" } ], "container-title" : "Neurological Sciences", "id" : "ITEM-2", "issue" : "12", "issued" : { "date-parts" : [ [ "2013" ] ] }, "page" : "2085-2093", "title" : "Guidelines from the Italian Neurological and Neuroradiological Societies for the use of magnetic resonance imaging in daily life clinical practice of multiple sclerosis patients", "type" : "article-journal", "volume" : "34" }, "uris" : [ "http://www.mendeley.com/documents/?uuid=349e6b78-58b8-4b31-833d-a771ca45fef8" ] }, { "id" : "ITEM-3", "itemData" : { "DOI" : "10.1016/S1474-4422(07)70176-X", "ISBN" : "1474-4422 (Print)", "ISSN" : "14744422", "PMID" : "17616439", "abstract" : "Background: The 2001 and 2005 McDonald criteria allow MRI evidence for dissemination in space (DIS) and dissemination in time (DIT) to be used to diagnose multiple sclerosis in patients who present with clinically isolated syndromes (CIS). In 2006, new criteria were proposed in which DIS requires at least one T2 lesion in at least two of four locations (juxtacortical, periventricular, infratentorial, and spinal-cord) and DIT requires a new T2 lesion on a follow-up scan. We applied all three criteria in a large cohort of CIS patients to assess their performance by use of conversion to clinically definite multiple sclerosis (CDMS) as the outcome. Methods: Patients who had two MRI scans within 12 months of CIS onset were identified in four centres in the Magnims European research network. The specificity and sensitivity of MRI criteria for CDMS after 3 years was assessed in 208 patients. A Cox proportional hazards model was applied in a larger cohort of 282 patients that included all patients irrespective of length of follow-up. Findings: The specificity of all criteria for CDMS was high (2001 McDonald, 91%; 2005 McDonald, 88%; new, 87%). Sensitivity of the new (72%) and 2005 McDonald (60%) criteria were higher than the 2001 McDonald criteria (47%). The Cox proportional hazards model showed a higher conversion risk for all three criteria in those with both DIS and DIT than those with either DIS or DIT alone. When all three criteria were included in the model, only the new criteria had an independent significant effect on conversion risk. Interpretation: The new criteria are simpler than the McDonald criteria without compromising specificity and accuracy. The presence of both DIS and DIT from two MRI scans has a higher specificity and risk for CDMS than either DIS or DIT alone. \u00a9 2007 Elsevier Ltd. All rights reserved.", "author" : [ { "dropping-particle" : "", "family" : "Swanton", "given" : "Josephine K.", "non-dropping-particle" : "", "parse-names" : false, "suffix" : "" }, { "dropping-particle" : "", "family" : "Rovira", "given" : "Alex", "non-dropping-particle" : "", "parse-names" : false, "suffix" : "" }, { "dropping-particle" : "", "family" : "Tintore", "given" : "Mar", "non-dropping-particle" : "", "parse-names" : false, "suffix" : "" }, { "dropping-particle" : "", "family" : "Altmann", "given" : "Daniel R.", "non-dropping-particle" : "", "parse-names" : false, "suffix" : "" }, { "dropping-particle" : "", "family" : "Barkhof", "given" : "Frederik", "non-dropping-particle" : "", "parse-names" : false, "suffix" : "" }, { "dropping-particle" : "", "family" : "Filippi", "given" : "Massimo", "non-dropping-particle" : "", "parse-names" : false, "suffix" : "" }, { "dropping-particle" : "", "family" : "Huerga", "given" : "Elena", "non-dropping-particle" : "", "parse-names" : false, "suffix" : "" }, { "dropping-particle" : "", "family" : "Miszkiel", "given" : "Katherine A.", "non-dropping-particle" : "", "parse-names" : false, "suffix" : "" }, { "dropping-particle" : "", "family" : "Plant", "given" : "Gordon T.", "non-dropping-particle" : "", "parse-names" : false, "suffix" : "" }, { "dropping-particle" : "", "family" : "Polman", "given" : "Chris", "non-dropping-particle" : "", "parse-names" : false, "suffix" : "" }, { "dropping-particle" : "", "family" : "Rovaris", "given" : "Marco", "non-dropping-particle" : "", "parse-names" : false, "suffix" : "" }, { "dropping-particle" : "", "family" : "Thompson", "given" : "Alan J.", "non-dropping-particle" : "", "parse-names" : false, "suffix" : "" }, { "dropping-particle" : "", "family" : "Montalban", "given" : "Xavier", "non-dropping-particle" : "", "parse-names" : false, "suffix" : "" }, { "dropping-particle" : "", "family" : "Miller", "given" : "David H.", "non-dropping-particle" : "", "parse-names" : false, "suffix" : "" } ], "container-title" : "Lancet Neurology", "id" : "ITEM-3", "issue" : "8", "issued" : { "date-parts" : [ [ "2007" ] ] }, "page" : "677-686", "title" : "MRI criteria for multiple sclerosis in patients presenting with clinically isolated syndromes: a multicentre retrospective study", "type" : "article-journal", "volume" : "6" }, "uris" : [ "http://www.mendeley.com/documents/?uuid=39cd1abb-90bf-4c54-95f2-f988a59c1356" ] } ], "mendeley" : { "formattedCitation" : "&lt;sup&gt;70,90,93&lt;/sup&gt;", "plainTextFormattedCitation" : "70,90,93", "previouslyFormattedCitation" : "&lt;sup&gt;70,90,93&lt;/sup&gt;" }, "properties" : { "noteIndex" : 0 }, "schema" : "https://github.com/citation-style-language/schema/raw/master/csl-citation.json" }</w:instrText>
      </w:r>
      <w:r w:rsidRPr="006C2258">
        <w:rPr>
          <w:rStyle w:val="Apice1"/>
        </w:rPr>
        <w:fldChar w:fldCharType="separate"/>
      </w:r>
      <w:r w:rsidRPr="006C2258">
        <w:rPr>
          <w:rStyle w:val="Apice1"/>
          <w:noProof/>
        </w:rPr>
        <w:t>70,90,93</w:t>
      </w:r>
      <w:r w:rsidRPr="006C2258">
        <w:rPr>
          <w:rStyle w:val="Apice1"/>
        </w:rPr>
        <w:fldChar w:fldCharType="end"/>
      </w:r>
    </w:p>
    <w:tbl>
      <w:tblPr>
        <w:tblW w:w="7797" w:type="dxa"/>
        <w:tblInd w:w="1240" w:type="dxa"/>
        <w:tblBorders>
          <w:top w:val="nil"/>
          <w:left w:val="nil"/>
          <w:right w:val="nil"/>
        </w:tblBorders>
        <w:tblLayout w:type="fixed"/>
        <w:tblLook w:val="0000" w:firstRow="0" w:lastRow="0" w:firstColumn="0" w:lastColumn="0" w:noHBand="0" w:noVBand="0"/>
      </w:tblPr>
      <w:tblGrid>
        <w:gridCol w:w="2835"/>
        <w:gridCol w:w="4962"/>
      </w:tblGrid>
      <w:tr w:rsidR="00BD0D01" w:rsidRPr="00010F69" w:rsidTr="001C4876">
        <w:tc>
          <w:tcPr>
            <w:tcW w:w="7797" w:type="dxa"/>
            <w:gridSpan w:val="2"/>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b/>
                <w:bCs/>
                <w:color w:val="000000"/>
                <w:sz w:val="22"/>
                <w:szCs w:val="22"/>
              </w:rPr>
              <w:t xml:space="preserve">Lesioni Encefaliche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Sede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Periventricolare</w:t>
            </w:r>
            <w:r>
              <w:rPr>
                <w:rFonts w:ascii="Times New Roman" w:hAnsi="Times New Roman" w:cs="Times New Roman"/>
                <w:color w:val="000000"/>
                <w:sz w:val="22"/>
                <w:szCs w:val="22"/>
              </w:rPr>
              <w:t>, corpo c</w:t>
            </w:r>
            <w:r w:rsidRPr="00010F69">
              <w:rPr>
                <w:rFonts w:ascii="Times New Roman" w:hAnsi="Times New Roman" w:cs="Times New Roman"/>
                <w:color w:val="000000"/>
                <w:sz w:val="22"/>
                <w:szCs w:val="22"/>
              </w:rPr>
              <w:t>alloso (prevalentemente fibre periferiche), ma anche infratentoriale</w:t>
            </w:r>
            <w:r>
              <w:rPr>
                <w:rFonts w:ascii="Times New Roman" w:hAnsi="Times New Roman" w:cs="Times New Roman"/>
                <w:color w:val="000000"/>
                <w:sz w:val="22"/>
                <w:szCs w:val="22"/>
              </w:rPr>
              <w:t>,</w:t>
            </w:r>
            <w:r w:rsidRPr="00010F69">
              <w:rPr>
                <w:rFonts w:ascii="Times New Roman" w:hAnsi="Times New Roman" w:cs="Times New Roman"/>
                <w:color w:val="000000"/>
                <w:sz w:val="22"/>
                <w:szCs w:val="22"/>
              </w:rPr>
              <w:t xml:space="preserve"> corticale.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280" w:lineRule="atLeast"/>
              <w:jc w:val="both"/>
              <w:rPr>
                <w:rFonts w:ascii="Times New Roman" w:hAnsi="Times New Roman" w:cs="Times New Roman"/>
                <w:color w:val="000000"/>
                <w:sz w:val="22"/>
                <w:szCs w:val="22"/>
              </w:rPr>
            </w:pPr>
            <w:r w:rsidRPr="00010F69">
              <w:rPr>
                <w:rFonts w:ascii="Times New Roman" w:hAnsi="Times New Roman" w:cs="Times New Roman"/>
                <w:noProof/>
                <w:color w:val="000000"/>
                <w:sz w:val="22"/>
                <w:szCs w:val="22"/>
              </w:rPr>
              <w:drawing>
                <wp:inline distT="0" distB="0" distL="0" distR="0" wp14:anchorId="230AD390" wp14:editId="7162FC46">
                  <wp:extent cx="10160" cy="101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Aspetto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Ovoidale e a fiamma (digitazioni di </w:t>
            </w:r>
            <w:r>
              <w:rPr>
                <w:rFonts w:ascii="Times New Roman" w:hAnsi="Times New Roman" w:cs="Times New Roman"/>
                <w:color w:val="000000"/>
                <w:sz w:val="22"/>
                <w:szCs w:val="22"/>
              </w:rPr>
              <w:t>D</w:t>
            </w:r>
            <w:r w:rsidRPr="00010F69">
              <w:rPr>
                <w:rFonts w:ascii="Times New Roman" w:hAnsi="Times New Roman" w:cs="Times New Roman"/>
                <w:color w:val="000000"/>
                <w:sz w:val="22"/>
                <w:szCs w:val="22"/>
              </w:rPr>
              <w:t xml:space="preserve">awson)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Dimensioni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Variabili ma non enormi e prive di effetto massa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280" w:lineRule="atLeast"/>
              <w:jc w:val="both"/>
              <w:rPr>
                <w:rFonts w:ascii="Times New Roman" w:hAnsi="Times New Roman" w:cs="Times New Roman"/>
                <w:color w:val="000000"/>
                <w:sz w:val="22"/>
                <w:szCs w:val="22"/>
              </w:rPr>
            </w:pPr>
            <w:r w:rsidRPr="00010F69">
              <w:rPr>
                <w:rFonts w:ascii="Times New Roman" w:hAnsi="Times New Roman" w:cs="Times New Roman"/>
                <w:noProof/>
                <w:color w:val="000000"/>
                <w:sz w:val="22"/>
                <w:szCs w:val="22"/>
              </w:rPr>
              <w:drawing>
                <wp:inline distT="0" distB="0" distL="0" distR="0" wp14:anchorId="7D74F5C6" wp14:editId="0B059FF3">
                  <wp:extent cx="10160" cy="1016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Altre caratteristiche </w:t>
            </w:r>
            <w:r w:rsidRPr="00010F69">
              <w:rPr>
                <w:rFonts w:ascii="Times New Roman" w:hAnsi="Times New Roman" w:cs="Times New Roman"/>
                <w:noProof/>
                <w:color w:val="000000"/>
                <w:sz w:val="22"/>
                <w:szCs w:val="22"/>
              </w:rPr>
              <w:drawing>
                <wp:inline distT="0" distB="0" distL="0" distR="0" wp14:anchorId="71D5D9DB" wp14:editId="3413A9AF">
                  <wp:extent cx="10160" cy="101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Possibile captazione del m</w:t>
            </w:r>
            <w:r>
              <w:rPr>
                <w:rFonts w:ascii="Times New Roman" w:hAnsi="Times New Roman" w:cs="Times New Roman"/>
                <w:color w:val="000000"/>
                <w:sz w:val="22"/>
                <w:szCs w:val="22"/>
              </w:rPr>
              <w:t xml:space="preserve">ezzo </w:t>
            </w:r>
            <w:r w:rsidRPr="00010F69">
              <w:rPr>
                <w:rFonts w:ascii="Times New Roman" w:hAnsi="Times New Roman" w:cs="Times New Roman"/>
                <w:color w:val="000000"/>
                <w:sz w:val="22"/>
                <w:szCs w:val="22"/>
              </w:rPr>
              <w:t>d</w:t>
            </w:r>
            <w:r>
              <w:rPr>
                <w:rFonts w:ascii="Times New Roman" w:hAnsi="Times New Roman" w:cs="Times New Roman"/>
                <w:color w:val="000000"/>
                <w:sz w:val="22"/>
                <w:szCs w:val="22"/>
              </w:rPr>
              <w:t xml:space="preserve">i </w:t>
            </w:r>
            <w:r w:rsidRPr="00010F69">
              <w:rPr>
                <w:rFonts w:ascii="Times New Roman" w:hAnsi="Times New Roman" w:cs="Times New Roman"/>
                <w:color w:val="000000"/>
                <w:sz w:val="22"/>
                <w:szCs w:val="22"/>
              </w:rPr>
              <w:t>c</w:t>
            </w:r>
            <w:r>
              <w:rPr>
                <w:rFonts w:ascii="Times New Roman" w:hAnsi="Times New Roman" w:cs="Times New Roman"/>
                <w:color w:val="000000"/>
                <w:sz w:val="22"/>
                <w:szCs w:val="22"/>
              </w:rPr>
              <w:t>ontrasto</w:t>
            </w:r>
            <w:r w:rsidRPr="00010F69">
              <w:rPr>
                <w:rFonts w:ascii="Times New Roman" w:hAnsi="Times New Roman" w:cs="Times New Roman"/>
                <w:color w:val="000000"/>
                <w:sz w:val="22"/>
                <w:szCs w:val="22"/>
              </w:rPr>
              <w:t xml:space="preserve">, talvolta ipointense in T1 </w:t>
            </w:r>
          </w:p>
        </w:tc>
      </w:tr>
      <w:tr w:rsidR="00BD0D01" w:rsidRPr="00010F69" w:rsidTr="001C4876">
        <w:tblPrEx>
          <w:tblBorders>
            <w:top w:val="none" w:sz="0" w:space="0" w:color="auto"/>
          </w:tblBorders>
        </w:tblPrEx>
        <w:tc>
          <w:tcPr>
            <w:tcW w:w="7797" w:type="dxa"/>
            <w:gridSpan w:val="2"/>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b/>
                <w:bCs/>
                <w:color w:val="000000"/>
                <w:sz w:val="22"/>
                <w:szCs w:val="22"/>
              </w:rPr>
              <w:t xml:space="preserve">Lesioni Spinali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280" w:lineRule="atLeast"/>
              <w:jc w:val="both"/>
              <w:rPr>
                <w:rFonts w:ascii="Times New Roman" w:hAnsi="Times New Roman" w:cs="Times New Roman"/>
                <w:color w:val="000000"/>
                <w:sz w:val="22"/>
                <w:szCs w:val="22"/>
              </w:rPr>
            </w:pPr>
            <w:r w:rsidRPr="00010F69">
              <w:rPr>
                <w:rFonts w:ascii="Times New Roman" w:hAnsi="Times New Roman" w:cs="Times New Roman"/>
                <w:noProof/>
                <w:color w:val="000000"/>
                <w:sz w:val="22"/>
                <w:szCs w:val="22"/>
              </w:rPr>
              <w:drawing>
                <wp:inline distT="0" distB="0" distL="0" distR="0" wp14:anchorId="7161739D" wp14:editId="429D5475">
                  <wp:extent cx="10160" cy="101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Sede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Cervicale&gt;</w:t>
            </w:r>
            <w:r>
              <w:rPr>
                <w:rFonts w:ascii="Times New Roman" w:hAnsi="Times New Roman" w:cs="Times New Roman"/>
                <w:color w:val="000000"/>
                <w:sz w:val="22"/>
                <w:szCs w:val="22"/>
              </w:rPr>
              <w:t xml:space="preserve"> </w:t>
            </w:r>
            <w:r w:rsidRPr="00010F69">
              <w:rPr>
                <w:rFonts w:ascii="Times New Roman" w:hAnsi="Times New Roman" w:cs="Times New Roman"/>
                <w:color w:val="000000"/>
                <w:sz w:val="22"/>
                <w:szCs w:val="22"/>
              </w:rPr>
              <w:t>dorsale&gt;</w:t>
            </w:r>
            <w:r>
              <w:rPr>
                <w:rFonts w:ascii="Times New Roman" w:hAnsi="Times New Roman" w:cs="Times New Roman"/>
                <w:color w:val="000000"/>
                <w:sz w:val="22"/>
                <w:szCs w:val="22"/>
              </w:rPr>
              <w:t xml:space="preserve"> </w:t>
            </w:r>
            <w:r w:rsidRPr="00010F69">
              <w:rPr>
                <w:rFonts w:ascii="Times New Roman" w:hAnsi="Times New Roman" w:cs="Times New Roman"/>
                <w:color w:val="000000"/>
                <w:sz w:val="22"/>
                <w:szCs w:val="22"/>
              </w:rPr>
              <w:t xml:space="preserve">lombare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280" w:lineRule="atLeast"/>
              <w:jc w:val="both"/>
              <w:rPr>
                <w:rFonts w:ascii="Times New Roman" w:hAnsi="Times New Roman" w:cs="Times New Roman"/>
                <w:color w:val="000000"/>
                <w:sz w:val="22"/>
                <w:szCs w:val="22"/>
              </w:rPr>
            </w:pPr>
            <w:r w:rsidRPr="00010F69">
              <w:rPr>
                <w:rFonts w:ascii="Times New Roman" w:hAnsi="Times New Roman" w:cs="Times New Roman"/>
                <w:noProof/>
                <w:color w:val="000000"/>
                <w:sz w:val="22"/>
                <w:szCs w:val="22"/>
              </w:rPr>
              <w:drawing>
                <wp:inline distT="0" distB="0" distL="0" distR="0" wp14:anchorId="28BDE140" wp14:editId="17771870">
                  <wp:extent cx="10160" cy="1016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Aspetto </w:t>
            </w:r>
            <w:r w:rsidRPr="00010F69">
              <w:rPr>
                <w:rFonts w:ascii="Times New Roman" w:hAnsi="Times New Roman" w:cs="Times New Roman"/>
                <w:noProof/>
                <w:color w:val="000000"/>
                <w:sz w:val="22"/>
                <w:szCs w:val="22"/>
              </w:rPr>
              <w:drawing>
                <wp:inline distT="0" distB="0" distL="0" distR="0" wp14:anchorId="4EF13F67" wp14:editId="181A2D89">
                  <wp:extent cx="10160" cy="101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w:t>
            </w:r>
            <w:r w:rsidRPr="00010F69">
              <w:rPr>
                <w:rFonts w:ascii="Times New Roman" w:hAnsi="Times New Roman" w:cs="Times New Roman"/>
                <w:color w:val="000000"/>
                <w:sz w:val="22"/>
                <w:szCs w:val="22"/>
              </w:rPr>
              <w:t>Cigar-like</w:t>
            </w:r>
            <w:r>
              <w:rPr>
                <w:rFonts w:ascii="Times New Roman" w:hAnsi="Times New Roman" w:cs="Times New Roman"/>
                <w:color w:val="000000"/>
                <w:sz w:val="22"/>
                <w:szCs w:val="22"/>
              </w:rPr>
              <w:t>”</w:t>
            </w:r>
            <w:r w:rsidRPr="00010F69">
              <w:rPr>
                <w:rFonts w:ascii="Times New Roman" w:hAnsi="Times New Roman" w:cs="Times New Roman"/>
                <w:color w:val="000000"/>
                <w:sz w:val="22"/>
                <w:szCs w:val="22"/>
              </w:rPr>
              <w:t xml:space="preserve"> </w:t>
            </w:r>
          </w:p>
        </w:tc>
      </w:tr>
      <w:tr w:rsidR="00BD0D01" w:rsidRPr="00010F69" w:rsidTr="001C4876">
        <w:tblPrEx>
          <w:tblBorders>
            <w:top w:val="none" w:sz="0" w:space="0" w:color="auto"/>
          </w:tblBorders>
        </w:tblPrEx>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Dimensioni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In genere piccole (estese meno di 2 metameri) e coinvolgenti meno della metà della sezione midollare </w:t>
            </w:r>
          </w:p>
        </w:tc>
      </w:tr>
      <w:tr w:rsidR="00BD0D01" w:rsidRPr="00010F69" w:rsidTr="001C4876">
        <w:tc>
          <w:tcPr>
            <w:tcW w:w="283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280" w:lineRule="atLeast"/>
              <w:jc w:val="both"/>
              <w:rPr>
                <w:rFonts w:ascii="Times New Roman" w:hAnsi="Times New Roman" w:cs="Times New Roman"/>
                <w:color w:val="000000"/>
                <w:sz w:val="22"/>
                <w:szCs w:val="22"/>
              </w:rPr>
            </w:pPr>
            <w:r w:rsidRPr="00010F69">
              <w:rPr>
                <w:rFonts w:ascii="Times New Roman" w:hAnsi="Times New Roman" w:cs="Times New Roman"/>
                <w:noProof/>
                <w:color w:val="000000"/>
                <w:sz w:val="22"/>
                <w:szCs w:val="22"/>
              </w:rPr>
              <w:drawing>
                <wp:inline distT="0" distB="0" distL="0" distR="0" wp14:anchorId="3F518F73" wp14:editId="36F90ED6">
                  <wp:extent cx="10160" cy="101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Altre caratteristiche</w:t>
            </w:r>
            <w:r w:rsidRPr="00010F69">
              <w:rPr>
                <w:rFonts w:ascii="Times New Roman" w:hAnsi="Times New Roman" w:cs="Times New Roman"/>
                <w:noProof/>
                <w:color w:val="000000"/>
                <w:sz w:val="22"/>
                <w:szCs w:val="22"/>
              </w:rPr>
              <w:drawing>
                <wp:inline distT="0" distB="0" distL="0" distR="0" wp14:anchorId="0BBAFC57" wp14:editId="1F6F4BDB">
                  <wp:extent cx="10160" cy="101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010F69">
              <w:rPr>
                <w:rFonts w:ascii="Times New Roman" w:hAnsi="Times New Roman" w:cs="Times New Roman"/>
                <w:color w:val="000000"/>
                <w:sz w:val="22"/>
                <w:szCs w:val="22"/>
              </w:rPr>
              <w:t xml:space="preserve"> </w:t>
            </w:r>
          </w:p>
        </w:tc>
        <w:tc>
          <w:tcPr>
            <w:tcW w:w="4962"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BD0D01" w:rsidRPr="00010F69" w:rsidRDefault="00BD0D01" w:rsidP="001C4876">
            <w:pPr>
              <w:widowControl w:val="0"/>
              <w:autoSpaceDE w:val="0"/>
              <w:autoSpaceDN w:val="0"/>
              <w:adjustRightInd w:val="0"/>
              <w:spacing w:line="360" w:lineRule="atLeast"/>
              <w:jc w:val="both"/>
              <w:rPr>
                <w:rFonts w:ascii="Times New Roman" w:hAnsi="Times New Roman" w:cs="Times New Roman"/>
                <w:color w:val="000000"/>
                <w:sz w:val="22"/>
                <w:szCs w:val="22"/>
              </w:rPr>
            </w:pPr>
            <w:r w:rsidRPr="00010F69">
              <w:rPr>
                <w:rFonts w:ascii="Times New Roman" w:hAnsi="Times New Roman" w:cs="Times New Roman"/>
                <w:color w:val="000000"/>
                <w:sz w:val="22"/>
                <w:szCs w:val="22"/>
              </w:rPr>
              <w:t xml:space="preserve">Raramente ipointense in T1, raro il rigonfiamento </w:t>
            </w:r>
            <w:r w:rsidRPr="00010F69">
              <w:rPr>
                <w:rFonts w:ascii="Times New Roman" w:hAnsi="Times New Roman" w:cs="Times New Roman"/>
                <w:color w:val="000000"/>
                <w:sz w:val="22"/>
                <w:szCs w:val="22"/>
              </w:rPr>
              <w:lastRenderedPageBreak/>
              <w:t xml:space="preserve">midollare </w:t>
            </w:r>
          </w:p>
        </w:tc>
      </w:tr>
    </w:tbl>
    <w:p w:rsidR="001C6C1F" w:rsidRDefault="001C6C1F"/>
    <w:sectPr w:rsidR="001C6C1F" w:rsidSect="00D175C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9574C"/>
    <w:multiLevelType w:val="hybridMultilevel"/>
    <w:tmpl w:val="82382BBA"/>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15:restartNumberingAfterBreak="0">
    <w:nsid w:val="430F5523"/>
    <w:multiLevelType w:val="hybridMultilevel"/>
    <w:tmpl w:val="91C47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D01"/>
    <w:rsid w:val="001C6C1F"/>
    <w:rsid w:val="00BD0D01"/>
    <w:rsid w:val="00D175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6C8A884"/>
  <w15:chartTrackingRefBased/>
  <w15:docId w15:val="{CDC50CE2-DB6E-F840-8A57-C1FF212F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D0D01"/>
    <w:rPr>
      <w:rFonts w:eastAsiaTheme="minorEastAsia"/>
      <w:lang w:eastAsia="it-IT"/>
    </w:rPr>
  </w:style>
  <w:style w:type="paragraph" w:styleId="Titolo2">
    <w:name w:val="heading 2"/>
    <w:basedOn w:val="Normale"/>
    <w:next w:val="Normale"/>
    <w:link w:val="Titolo2Carattere"/>
    <w:uiPriority w:val="9"/>
    <w:semiHidden/>
    <w:unhideWhenUsed/>
    <w:qFormat/>
    <w:rsid w:val="00BD0D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D0D01"/>
    <w:pPr>
      <w:ind w:left="720"/>
      <w:contextualSpacing/>
    </w:pPr>
  </w:style>
  <w:style w:type="table" w:styleId="Grigliatabella">
    <w:name w:val="Table Grid"/>
    <w:basedOn w:val="Tabellanormale"/>
    <w:uiPriority w:val="39"/>
    <w:rsid w:val="00BD0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BD0D01"/>
    <w:pPr>
      <w:spacing w:after="200"/>
    </w:pPr>
    <w:rPr>
      <w:rFonts w:ascii="Times New Roman" w:hAnsi="Times New Roman"/>
      <w:iCs/>
      <w:color w:val="000000" w:themeColor="text1"/>
      <w:sz w:val="20"/>
      <w:szCs w:val="18"/>
    </w:rPr>
  </w:style>
  <w:style w:type="paragraph" w:customStyle="1" w:styleId="TitoloTesi2">
    <w:name w:val="Titolo Tesi 2"/>
    <w:basedOn w:val="Titolo2"/>
    <w:autoRedefine/>
    <w:qFormat/>
    <w:rsid w:val="00BD0D01"/>
    <w:pPr>
      <w:ind w:left="1134"/>
    </w:pPr>
    <w:rPr>
      <w:rFonts w:ascii="Times New Roman" w:hAnsi="Times New Roman" w:cs="Times New Roman"/>
      <w:b/>
      <w:color w:val="000000" w:themeColor="text1"/>
    </w:rPr>
  </w:style>
  <w:style w:type="paragraph" w:customStyle="1" w:styleId="TitoloTesi3">
    <w:name w:val="Titolo Tesi 3"/>
    <w:basedOn w:val="TitoloTesi2"/>
    <w:autoRedefine/>
    <w:qFormat/>
    <w:rsid w:val="00BD0D01"/>
    <w:pPr>
      <w:spacing w:before="0" w:line="360" w:lineRule="auto"/>
      <w:jc w:val="both"/>
    </w:pPr>
    <w:rPr>
      <w:bCs/>
      <w:sz w:val="24"/>
      <w:szCs w:val="24"/>
    </w:rPr>
  </w:style>
  <w:style w:type="character" w:customStyle="1" w:styleId="Apice1">
    <w:name w:val="Apice1"/>
    <w:basedOn w:val="Carpredefinitoparagrafo"/>
    <w:uiPriority w:val="1"/>
    <w:qFormat/>
    <w:rsid w:val="00BD0D01"/>
    <w:rPr>
      <w:rFonts w:ascii="Times New Roman" w:hAnsi="Times New Roman" w:cs="Times New Roman"/>
      <w:position w:val="2"/>
      <w:vertAlign w:val="superscript"/>
    </w:rPr>
  </w:style>
  <w:style w:type="character" w:customStyle="1" w:styleId="Titolo2Carattere">
    <w:name w:val="Titolo 2 Carattere"/>
    <w:basedOn w:val="Carpredefinitoparagrafo"/>
    <w:link w:val="Titolo2"/>
    <w:uiPriority w:val="9"/>
    <w:semiHidden/>
    <w:rsid w:val="00BD0D01"/>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30046</Words>
  <Characters>171264</Characters>
  <Application>Microsoft Office Word</Application>
  <DocSecurity>0</DocSecurity>
  <Lines>1427</Lines>
  <Paragraphs>401</Paragraphs>
  <ScaleCrop>false</ScaleCrop>
  <Company/>
  <LinksUpToDate>false</LinksUpToDate>
  <CharactersWithSpaces>200909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Calabrese</dc:creator>
  <cp:keywords/>
  <dc:description/>
  <cp:lastModifiedBy>Massimiliano Calabrese</cp:lastModifiedBy>
  <cp:revision>1</cp:revision>
  <dcterms:created xsi:type="dcterms:W3CDTF">2018-08-21T14:48:00Z</dcterms:created>
  <dcterms:modified xsi:type="dcterms:W3CDTF">2018-08-21T14:49:00Z</dcterms:modified>
</cp:coreProperties>
</file>